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F1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920F4F">
        <w:rPr>
          <w:rFonts w:ascii="Arial" w:hAnsi="Arial"/>
          <w:sz w:val="22"/>
          <w:szCs w:val="22"/>
          <w:lang w:val="it-IT"/>
        </w:rPr>
        <w:t>: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Default="00385F0B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 w:rsidRPr="00615245">
        <w:rPr>
          <w:rFonts w:ascii="Arial" w:hAnsi="Arial"/>
        </w:rPr>
        <w:tab/>
      </w:r>
      <w:r w:rsidR="004A5E37">
        <w:rPr>
          <w:rFonts w:ascii="Arial" w:hAnsi="Arial"/>
          <w:sz w:val="22"/>
          <w:szCs w:val="22"/>
        </w:rPr>
        <w:t>13</w:t>
      </w:r>
      <w:r w:rsidR="004F30C9" w:rsidRPr="00222A81">
        <w:rPr>
          <w:rFonts w:ascii="Arial" w:hAnsi="Arial"/>
          <w:sz w:val="22"/>
          <w:szCs w:val="22"/>
        </w:rPr>
        <w:t xml:space="preserve">. </w:t>
      </w:r>
      <w:r w:rsidR="00A06D09">
        <w:rPr>
          <w:rFonts w:ascii="Arial" w:hAnsi="Arial"/>
          <w:sz w:val="22"/>
          <w:szCs w:val="22"/>
        </w:rPr>
        <w:t>Mai</w:t>
      </w:r>
      <w:r w:rsidR="00E111F5">
        <w:rPr>
          <w:rFonts w:ascii="Arial" w:hAnsi="Arial"/>
          <w:sz w:val="22"/>
          <w:szCs w:val="22"/>
        </w:rPr>
        <w:t xml:space="preserve"> </w:t>
      </w:r>
      <w:r w:rsidR="00A95E03" w:rsidRPr="00222A81">
        <w:rPr>
          <w:rFonts w:ascii="Arial" w:hAnsi="Arial"/>
          <w:sz w:val="22"/>
          <w:szCs w:val="22"/>
        </w:rPr>
        <w:t>201</w:t>
      </w:r>
      <w:r w:rsidR="00901161" w:rsidRPr="00222A81">
        <w:rPr>
          <w:rFonts w:ascii="Arial" w:hAnsi="Arial"/>
          <w:sz w:val="22"/>
          <w:szCs w:val="22"/>
        </w:rPr>
        <w:t>9</w:t>
      </w:r>
    </w:p>
    <w:p w:rsidR="000849F1" w:rsidRPr="00222A81" w:rsidRDefault="000849F1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</w:p>
    <w:p w:rsidR="006F7246" w:rsidRDefault="00385F0B" w:rsidP="006F7246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C9587D" w:rsidRPr="00AC4E62">
        <w:rPr>
          <w:rFonts w:ascii="Arial" w:hAnsi="Arial" w:cs="Arial"/>
          <w:b/>
          <w:bCs/>
          <w:sz w:val="22"/>
          <w:szCs w:val="22"/>
        </w:rPr>
        <w:t>P1</w:t>
      </w:r>
      <w:r w:rsidR="004A5E37">
        <w:rPr>
          <w:rFonts w:ascii="Arial" w:hAnsi="Arial" w:cs="Arial"/>
          <w:b/>
          <w:bCs/>
          <w:sz w:val="22"/>
          <w:szCs w:val="22"/>
        </w:rPr>
        <w:t>912</w:t>
      </w:r>
      <w:r w:rsidR="00E571DD" w:rsidRPr="00AC4E62">
        <w:rPr>
          <w:rFonts w:ascii="Arial" w:hAnsi="Arial" w:cs="Arial"/>
          <w:b/>
          <w:bCs/>
          <w:sz w:val="22"/>
          <w:szCs w:val="22"/>
        </w:rPr>
        <w:t>:</w:t>
      </w:r>
      <w:r w:rsidR="001A5236" w:rsidRPr="00AC4E62">
        <w:rPr>
          <w:rFonts w:ascii="Arial" w:hAnsi="Arial" w:cs="Arial"/>
          <w:b/>
          <w:bCs/>
          <w:sz w:val="22"/>
          <w:szCs w:val="22"/>
        </w:rPr>
        <w:t xml:space="preserve"> </w:t>
      </w:r>
      <w:r w:rsidR="00963C44">
        <w:rPr>
          <w:rFonts w:ascii="Arial" w:hAnsi="Arial" w:cs="Arial"/>
          <w:b/>
          <w:bCs/>
          <w:sz w:val="22"/>
          <w:szCs w:val="22"/>
        </w:rPr>
        <w:t xml:space="preserve"> </w:t>
      </w:r>
      <w:r w:rsidR="00E15D9C" w:rsidRPr="00E15D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F7246" w:rsidRPr="00673086">
        <w:rPr>
          <w:rFonts w:ascii="Arial" w:hAnsi="Arial" w:cs="Arial"/>
          <w:b/>
          <w:color w:val="000000"/>
          <w:sz w:val="22"/>
          <w:szCs w:val="22"/>
        </w:rPr>
        <w:t xml:space="preserve">Die neuen HMI der CR-Serie von </w:t>
      </w:r>
      <w:proofErr w:type="spellStart"/>
      <w:r w:rsidR="006F7246" w:rsidRPr="00673086">
        <w:rPr>
          <w:rFonts w:ascii="Arial" w:hAnsi="Arial" w:cs="Arial"/>
          <w:b/>
          <w:color w:val="000000"/>
          <w:sz w:val="22"/>
          <w:szCs w:val="22"/>
        </w:rPr>
        <w:t>Red</w:t>
      </w:r>
      <w:proofErr w:type="spellEnd"/>
      <w:r w:rsidR="006F7246" w:rsidRPr="00673086">
        <w:rPr>
          <w:rFonts w:ascii="Arial" w:hAnsi="Arial" w:cs="Arial"/>
          <w:b/>
          <w:color w:val="000000"/>
          <w:sz w:val="22"/>
          <w:szCs w:val="22"/>
        </w:rPr>
        <w:t xml:space="preserve"> Lion</w:t>
      </w:r>
    </w:p>
    <w:p w:rsidR="00572E83" w:rsidRDefault="00385F0B" w:rsidP="00EA45EA">
      <w:pPr>
        <w:rPr>
          <w:rFonts w:ascii="Arial" w:hAnsi="Arial" w:cs="Arial"/>
        </w:rPr>
      </w:pPr>
      <w:bookmarkStart w:id="0" w:name="_GoBack"/>
      <w:bookmarkEnd w:id="0"/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</w:p>
    <w:p w:rsidR="00572E83" w:rsidRDefault="00385F0B" w:rsidP="00EA45EA">
      <w:pPr>
        <w:rPr>
          <w:rFonts w:ascii="Arial" w:hAnsi="Arial" w:cs="Arial"/>
        </w:rPr>
      </w:pPr>
      <w:proofErr w:type="spellStart"/>
      <w:r w:rsidRPr="001A5236">
        <w:rPr>
          <w:rFonts w:ascii="Arial" w:hAnsi="Arial" w:cs="Arial"/>
        </w:rPr>
        <w:t>Btte</w:t>
      </w:r>
      <w:proofErr w:type="spellEnd"/>
      <w:r w:rsidRPr="001A5236">
        <w:rPr>
          <w:rFonts w:ascii="Arial" w:hAnsi="Arial" w:cs="Arial"/>
        </w:rPr>
        <w:t xml:space="preserve">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 xml:space="preserve">Herzlichen Dank für Ihre Bemühungen </w:t>
      </w: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im Voraus.</w:t>
      </w:r>
    </w:p>
    <w:p w:rsidR="000849F1" w:rsidRPr="004F30C9" w:rsidRDefault="0089091F" w:rsidP="000849F1">
      <w:pPr>
        <w:spacing w:line="360" w:lineRule="auto"/>
        <w:rPr>
          <w:rFonts w:ascii="Arial" w:hAnsi="Arial" w:cs="Arial"/>
          <w:sz w:val="22"/>
          <w:szCs w:val="22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A06D09" w:rsidRPr="00A06D09" w:rsidRDefault="00A06D09" w:rsidP="00287E2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673086" w:rsidRDefault="00673086" w:rsidP="00287E24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673086">
        <w:rPr>
          <w:rFonts w:ascii="Arial" w:hAnsi="Arial" w:cs="Arial"/>
          <w:b/>
          <w:color w:val="000000"/>
          <w:sz w:val="22"/>
          <w:szCs w:val="22"/>
        </w:rPr>
        <w:t>D</w:t>
      </w:r>
      <w:r w:rsidRPr="00673086">
        <w:rPr>
          <w:rFonts w:ascii="Arial" w:hAnsi="Arial" w:cs="Arial"/>
          <w:b/>
          <w:color w:val="000000"/>
          <w:sz w:val="22"/>
          <w:szCs w:val="22"/>
        </w:rPr>
        <w:t xml:space="preserve">ie neuen HMI der CR-Serie von </w:t>
      </w:r>
      <w:proofErr w:type="spellStart"/>
      <w:r w:rsidRPr="00673086">
        <w:rPr>
          <w:rFonts w:ascii="Arial" w:hAnsi="Arial" w:cs="Arial"/>
          <w:b/>
          <w:color w:val="000000"/>
          <w:sz w:val="22"/>
          <w:szCs w:val="22"/>
        </w:rPr>
        <w:t>Red</w:t>
      </w:r>
      <w:proofErr w:type="spellEnd"/>
      <w:r w:rsidRPr="00673086">
        <w:rPr>
          <w:rFonts w:ascii="Arial" w:hAnsi="Arial" w:cs="Arial"/>
          <w:b/>
          <w:color w:val="000000"/>
          <w:sz w:val="22"/>
          <w:szCs w:val="22"/>
        </w:rPr>
        <w:t xml:space="preserve"> Lion</w:t>
      </w:r>
    </w:p>
    <w:p w:rsidR="00287E24" w:rsidRPr="00287E24" w:rsidRDefault="00287E24" w:rsidP="00287E24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87E24">
        <w:rPr>
          <w:rFonts w:ascii="Arial" w:hAnsi="Arial" w:cs="Arial"/>
          <w:b/>
          <w:color w:val="000000"/>
          <w:sz w:val="22"/>
          <w:szCs w:val="22"/>
        </w:rPr>
        <w:t xml:space="preserve">Gut gerüstet für </w:t>
      </w:r>
      <w:proofErr w:type="spellStart"/>
      <w:r w:rsidRPr="00287E24">
        <w:rPr>
          <w:rFonts w:ascii="Arial" w:hAnsi="Arial" w:cs="Arial"/>
          <w:b/>
          <w:color w:val="000000"/>
          <w:sz w:val="22"/>
          <w:szCs w:val="22"/>
        </w:rPr>
        <w:t>R</w:t>
      </w:r>
      <w:r w:rsidRPr="00287E24">
        <w:rPr>
          <w:rFonts w:ascii="Arial" w:hAnsi="Arial" w:cs="Arial"/>
          <w:b/>
          <w:color w:val="000000"/>
          <w:sz w:val="22"/>
          <w:szCs w:val="22"/>
        </w:rPr>
        <w:t>ekonfigurationen</w:t>
      </w:r>
      <w:proofErr w:type="spellEnd"/>
      <w:r w:rsidRPr="00287E24">
        <w:rPr>
          <w:rFonts w:ascii="Arial" w:hAnsi="Arial" w:cs="Arial"/>
          <w:b/>
          <w:color w:val="000000"/>
          <w:sz w:val="22"/>
          <w:szCs w:val="22"/>
        </w:rPr>
        <w:t xml:space="preserve"> und </w:t>
      </w:r>
      <w:r w:rsidRPr="00287E24">
        <w:rPr>
          <w:rFonts w:ascii="Arial" w:hAnsi="Arial" w:cs="Arial"/>
          <w:b/>
          <w:color w:val="000000"/>
          <w:sz w:val="22"/>
          <w:szCs w:val="22"/>
        </w:rPr>
        <w:t>Funktionserweiterungen</w:t>
      </w:r>
    </w:p>
    <w:p w:rsidR="00287E24" w:rsidRPr="00673086" w:rsidRDefault="00287E24" w:rsidP="00287E24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87E24" w:rsidRDefault="00673086" w:rsidP="00287E24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673086">
        <w:rPr>
          <w:rFonts w:ascii="Arial" w:hAnsi="Arial" w:cs="Arial"/>
          <w:color w:val="000000"/>
          <w:sz w:val="22"/>
          <w:szCs w:val="22"/>
        </w:rPr>
        <w:t xml:space="preserve">Bei </w:t>
      </w:r>
      <w:r>
        <w:rPr>
          <w:rFonts w:ascii="Arial" w:hAnsi="Arial" w:cs="Arial"/>
          <w:color w:val="000000"/>
          <w:sz w:val="22"/>
          <w:szCs w:val="22"/>
        </w:rPr>
        <w:t xml:space="preserve">sich stetig </w:t>
      </w:r>
      <w:r w:rsidRPr="00673086">
        <w:rPr>
          <w:rFonts w:ascii="Arial" w:hAnsi="Arial" w:cs="Arial"/>
          <w:color w:val="000000"/>
          <w:sz w:val="22"/>
          <w:szCs w:val="22"/>
        </w:rPr>
        <w:t xml:space="preserve">ändernden </w:t>
      </w:r>
      <w:r>
        <w:rPr>
          <w:rFonts w:ascii="Arial" w:hAnsi="Arial" w:cs="Arial"/>
          <w:color w:val="000000"/>
          <w:sz w:val="22"/>
          <w:szCs w:val="22"/>
        </w:rPr>
        <w:t>Anwender</w:t>
      </w:r>
      <w:r w:rsidRPr="00673086">
        <w:rPr>
          <w:rFonts w:ascii="Arial" w:hAnsi="Arial" w:cs="Arial"/>
          <w:color w:val="000000"/>
          <w:sz w:val="22"/>
          <w:szCs w:val="22"/>
        </w:rPr>
        <w:t xml:space="preserve">anforderungen und </w:t>
      </w:r>
      <w:r>
        <w:rPr>
          <w:rFonts w:ascii="Arial" w:hAnsi="Arial" w:cs="Arial"/>
          <w:color w:val="000000"/>
          <w:sz w:val="22"/>
          <w:szCs w:val="22"/>
        </w:rPr>
        <w:t xml:space="preserve">schnellen </w:t>
      </w:r>
      <w:r w:rsidRPr="00673086">
        <w:rPr>
          <w:rFonts w:ascii="Arial" w:hAnsi="Arial" w:cs="Arial"/>
          <w:color w:val="000000"/>
          <w:sz w:val="22"/>
          <w:szCs w:val="22"/>
        </w:rPr>
        <w:t>Innovation</w:t>
      </w:r>
      <w:r>
        <w:rPr>
          <w:rFonts w:ascii="Arial" w:hAnsi="Arial" w:cs="Arial"/>
          <w:color w:val="000000"/>
          <w:sz w:val="22"/>
          <w:szCs w:val="22"/>
        </w:rPr>
        <w:t>szyklen</w:t>
      </w:r>
      <w:r w:rsidR="00287E24">
        <w:rPr>
          <w:rFonts w:ascii="Arial" w:hAnsi="Arial" w:cs="Arial"/>
          <w:color w:val="000000"/>
          <w:sz w:val="22"/>
          <w:szCs w:val="22"/>
        </w:rPr>
        <w:t xml:space="preserve"> ist es wichtig, über G</w:t>
      </w:r>
      <w:r w:rsidRPr="00673086">
        <w:rPr>
          <w:rFonts w:ascii="Arial" w:hAnsi="Arial" w:cs="Arial"/>
          <w:color w:val="000000"/>
          <w:sz w:val="22"/>
          <w:szCs w:val="22"/>
        </w:rPr>
        <w:t xml:space="preserve">eräte zu verfügen, die sich </w:t>
      </w:r>
      <w:r>
        <w:rPr>
          <w:rFonts w:ascii="Arial" w:hAnsi="Arial" w:cs="Arial"/>
          <w:color w:val="000000"/>
          <w:sz w:val="22"/>
          <w:szCs w:val="22"/>
        </w:rPr>
        <w:t xml:space="preserve">den </w:t>
      </w:r>
      <w:r w:rsidRPr="00673086">
        <w:rPr>
          <w:rFonts w:ascii="Arial" w:hAnsi="Arial" w:cs="Arial"/>
          <w:color w:val="000000"/>
          <w:sz w:val="22"/>
          <w:szCs w:val="22"/>
        </w:rPr>
        <w:t xml:space="preserve">neuen </w:t>
      </w:r>
      <w:r>
        <w:rPr>
          <w:rFonts w:ascii="Arial" w:hAnsi="Arial" w:cs="Arial"/>
          <w:color w:val="000000"/>
          <w:sz w:val="22"/>
          <w:szCs w:val="22"/>
        </w:rPr>
        <w:t xml:space="preserve">Gegebenheiten anpassen.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Lion’s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HMI</w:t>
      </w:r>
      <w:r w:rsidRPr="0067308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der neuen Serien </w:t>
      </w:r>
      <w:r w:rsidRPr="00673086">
        <w:rPr>
          <w:rFonts w:ascii="Arial" w:hAnsi="Arial" w:cs="Arial"/>
          <w:color w:val="000000"/>
          <w:sz w:val="22"/>
          <w:szCs w:val="22"/>
        </w:rPr>
        <w:t xml:space="preserve">CR1000 und CR3000 ermöglichen Integratoren und Systemdesignern eine kosteneffektive Planung zukünftiger </w:t>
      </w:r>
      <w:proofErr w:type="spellStart"/>
      <w:r w:rsidRPr="00673086">
        <w:rPr>
          <w:rFonts w:ascii="Arial" w:hAnsi="Arial" w:cs="Arial"/>
          <w:color w:val="000000"/>
          <w:sz w:val="22"/>
          <w:szCs w:val="22"/>
        </w:rPr>
        <w:t>Rekonfigurationen</w:t>
      </w:r>
      <w:proofErr w:type="spellEnd"/>
      <w:r w:rsidRPr="00673086">
        <w:rPr>
          <w:rFonts w:ascii="Arial" w:hAnsi="Arial" w:cs="Arial"/>
          <w:color w:val="000000"/>
          <w:sz w:val="22"/>
          <w:szCs w:val="22"/>
        </w:rPr>
        <w:t xml:space="preserve"> </w:t>
      </w:r>
      <w:r w:rsidR="00287E24">
        <w:rPr>
          <w:rFonts w:ascii="Arial" w:hAnsi="Arial" w:cs="Arial"/>
          <w:color w:val="000000"/>
          <w:sz w:val="22"/>
          <w:szCs w:val="22"/>
        </w:rPr>
        <w:t>und/</w:t>
      </w:r>
      <w:r w:rsidRPr="00673086">
        <w:rPr>
          <w:rFonts w:ascii="Arial" w:hAnsi="Arial" w:cs="Arial"/>
          <w:color w:val="000000"/>
          <w:sz w:val="22"/>
          <w:szCs w:val="22"/>
        </w:rPr>
        <w:t>oder Funktionserweiterungen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73086">
        <w:rPr>
          <w:rFonts w:ascii="Arial" w:hAnsi="Arial" w:cs="Arial"/>
          <w:color w:val="000000"/>
          <w:sz w:val="22"/>
          <w:szCs w:val="22"/>
        </w:rPr>
        <w:t xml:space="preserve">ohne </w:t>
      </w:r>
      <w:r>
        <w:rPr>
          <w:rFonts w:ascii="Arial" w:hAnsi="Arial" w:cs="Arial"/>
          <w:color w:val="000000"/>
          <w:sz w:val="22"/>
          <w:szCs w:val="22"/>
        </w:rPr>
        <w:t xml:space="preserve">die </w:t>
      </w:r>
      <w:r w:rsidRPr="00673086">
        <w:rPr>
          <w:rFonts w:ascii="Arial" w:hAnsi="Arial" w:cs="Arial"/>
          <w:color w:val="000000"/>
          <w:sz w:val="22"/>
          <w:szCs w:val="22"/>
        </w:rPr>
        <w:t>Stilllegung vorhandener Geräte.</w:t>
      </w:r>
    </w:p>
    <w:p w:rsidR="00673086" w:rsidRDefault="00673086" w:rsidP="00287E24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73086">
        <w:rPr>
          <w:rFonts w:ascii="Arial" w:hAnsi="Arial" w:cs="Arial"/>
          <w:color w:val="000000"/>
          <w:sz w:val="22"/>
          <w:szCs w:val="22"/>
        </w:rPr>
        <w:t>Red</w:t>
      </w:r>
      <w:proofErr w:type="spellEnd"/>
      <w:r w:rsidRPr="00673086">
        <w:rPr>
          <w:rFonts w:ascii="Arial" w:hAnsi="Arial" w:cs="Arial"/>
          <w:color w:val="000000"/>
          <w:sz w:val="22"/>
          <w:szCs w:val="22"/>
        </w:rPr>
        <w:t xml:space="preserve"> Lions CR1000</w:t>
      </w:r>
      <w:r>
        <w:rPr>
          <w:rFonts w:ascii="Arial" w:hAnsi="Arial" w:cs="Arial"/>
          <w:color w:val="000000"/>
          <w:sz w:val="22"/>
          <w:szCs w:val="22"/>
        </w:rPr>
        <w:t>- und CR3000-</w:t>
      </w:r>
      <w:r w:rsidRPr="00673086">
        <w:rPr>
          <w:rFonts w:ascii="Arial" w:hAnsi="Arial" w:cs="Arial"/>
          <w:color w:val="000000"/>
          <w:sz w:val="22"/>
          <w:szCs w:val="22"/>
        </w:rPr>
        <w:t xml:space="preserve">HMI-Bediengeräte nutzen die neue </w:t>
      </w:r>
      <w:proofErr w:type="spellStart"/>
      <w:r w:rsidRPr="00673086">
        <w:rPr>
          <w:rFonts w:ascii="Arial" w:hAnsi="Arial" w:cs="Arial"/>
          <w:color w:val="000000"/>
          <w:sz w:val="22"/>
          <w:szCs w:val="22"/>
        </w:rPr>
        <w:t>Crimson</w:t>
      </w:r>
      <w:proofErr w:type="spellEnd"/>
      <w:r w:rsidRPr="00673086">
        <w:rPr>
          <w:rFonts w:ascii="Arial" w:hAnsi="Arial" w:cs="Arial"/>
          <w:color w:val="000000"/>
          <w:sz w:val="22"/>
          <w:szCs w:val="22"/>
        </w:rPr>
        <w:t xml:space="preserve">® 3.1 Software für noch intuitivere Schnittstellen, mit erweiterten Designfunktionen und neuen </w:t>
      </w:r>
      <w:r>
        <w:rPr>
          <w:rFonts w:ascii="Arial" w:hAnsi="Arial" w:cs="Arial"/>
          <w:color w:val="000000"/>
          <w:sz w:val="22"/>
          <w:szCs w:val="22"/>
        </w:rPr>
        <w:t xml:space="preserve">3D-Symbolen, aktualisierten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Konn</w:t>
      </w:r>
      <w:r w:rsidRPr="00673086">
        <w:rPr>
          <w:rFonts w:ascii="Arial" w:hAnsi="Arial" w:cs="Arial"/>
          <w:color w:val="000000"/>
          <w:sz w:val="22"/>
          <w:szCs w:val="22"/>
        </w:rPr>
        <w:t>ektivitätsoptionen</w:t>
      </w:r>
      <w:proofErr w:type="spellEnd"/>
      <w:r w:rsidRPr="00673086">
        <w:rPr>
          <w:rFonts w:ascii="Arial" w:hAnsi="Arial" w:cs="Arial"/>
          <w:color w:val="000000"/>
          <w:sz w:val="22"/>
          <w:szCs w:val="22"/>
        </w:rPr>
        <w:t>, branchenführender einfacher Point-</w:t>
      </w:r>
      <w:proofErr w:type="spellStart"/>
      <w:r w:rsidRPr="00673086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673086">
        <w:rPr>
          <w:rFonts w:ascii="Arial" w:hAnsi="Arial" w:cs="Arial"/>
          <w:color w:val="000000"/>
          <w:sz w:val="22"/>
          <w:szCs w:val="22"/>
        </w:rPr>
        <w:t>-Click-Protokollkonvertierung, Datenprotokollierung und einem fortschrittlichen Webserver für Fernüberwachung und -steuerung.</w:t>
      </w:r>
    </w:p>
    <w:p w:rsidR="00287E24" w:rsidRDefault="00287E24" w:rsidP="00287E24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Das Team der Wachendorff Prozesstechnik ist kompetenter und hilfsbereiter Partner und Distributor, wenn es um das Auswählen, Testen und Integrieren der Bediengeräte in die spezifische Applikation geht.</w:t>
      </w:r>
    </w:p>
    <w:p w:rsidR="004A5E37" w:rsidRDefault="004A5E37" w:rsidP="00A06D09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A06D09" w:rsidRDefault="00A06D09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E111F5">
        <w:rPr>
          <w:rFonts w:ascii="Arial" w:hAnsi="Arial" w:cs="Arial"/>
          <w:color w:val="000000"/>
          <w:sz w:val="22"/>
          <w:szCs w:val="22"/>
        </w:rPr>
        <w:t>ehr Informationen:</w:t>
      </w:r>
    </w:p>
    <w:p w:rsidR="00673086" w:rsidRPr="00673086" w:rsidRDefault="00673086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hyperlink r:id="rId7" w:history="1">
        <w:r w:rsidRPr="00673086">
          <w:rPr>
            <w:rFonts w:ascii="Arial" w:hAnsi="Arial" w:cs="Arial"/>
            <w:color w:val="0000FF"/>
            <w:sz w:val="18"/>
            <w:szCs w:val="18"/>
            <w:u w:val="single"/>
          </w:rPr>
          <w:t>https://www.wachendorff-prozesstechnik.de/produktgruppen/bedienen-beobachten/informationen/hmi-mit-touch/cr-serie/</w:t>
        </w:r>
      </w:hyperlink>
    </w:p>
    <w:p w:rsidR="00A06D09" w:rsidRDefault="00A06D09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287E24" w:rsidRPr="00673086" w:rsidRDefault="00287E24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A06D09" w:rsidRDefault="00673086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5BB5CE4" wp14:editId="2FE77E15">
            <wp:simplePos x="0" y="0"/>
            <wp:positionH relativeFrom="column">
              <wp:posOffset>2731339</wp:posOffset>
            </wp:positionH>
            <wp:positionV relativeFrom="paragraph">
              <wp:posOffset>32385</wp:posOffset>
            </wp:positionV>
            <wp:extent cx="3830328" cy="98107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P1912_Wachendorff_CR-Serie_RL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505" cy="98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D9C">
        <w:rPr>
          <w:rFonts w:ascii="Arial" w:hAnsi="Arial" w:cs="Arial"/>
          <w:color w:val="000000"/>
          <w:sz w:val="22"/>
          <w:szCs w:val="22"/>
        </w:rPr>
        <w:t>Bild</w:t>
      </w:r>
      <w:r w:rsidR="00E111F5">
        <w:rPr>
          <w:rFonts w:ascii="Arial" w:hAnsi="Arial" w:cs="Arial"/>
          <w:color w:val="000000"/>
          <w:sz w:val="22"/>
          <w:szCs w:val="22"/>
        </w:rPr>
        <w:t xml:space="preserve"> (Wachendorff Prozesstechnik):</w:t>
      </w:r>
    </w:p>
    <w:p w:rsidR="00673086" w:rsidRDefault="00673086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673086" w:rsidRDefault="00673086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673086">
        <w:rPr>
          <w:rFonts w:ascii="Arial" w:hAnsi="Arial" w:cs="Arial"/>
          <w:color w:val="000000"/>
          <w:sz w:val="22"/>
          <w:szCs w:val="22"/>
        </w:rPr>
        <w:t>WP1912_Wachendorff_CR-Serie_RLC</w:t>
      </w:r>
      <w:r>
        <w:rPr>
          <w:rFonts w:ascii="Arial" w:hAnsi="Arial" w:cs="Arial"/>
          <w:color w:val="000000"/>
          <w:sz w:val="22"/>
          <w:szCs w:val="22"/>
        </w:rPr>
        <w:t>.jpg</w:t>
      </w:r>
    </w:p>
    <w:sectPr w:rsidR="00673086" w:rsidSect="00B352CE">
      <w:headerReference w:type="default" r:id="rId9"/>
      <w:headerReference w:type="first" r:id="rId10"/>
      <w:footerReference w:type="first" r:id="rId11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Default="00C42F72">
    <w:pPr>
      <w:pStyle w:val="Fuzeile"/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5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65 - 78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lang w:val="fr-FR"/>
      </w:rPr>
    </w:pPr>
  </w:p>
  <w:p w:rsidR="002D375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</w:t>
    </w:r>
    <w:r w:rsidR="00B122DD">
      <w:rPr>
        <w:rFonts w:ascii="Arial" w:hAnsi="Arial" w:cs="Arial"/>
        <w:lang w:val="fr-FR"/>
      </w:rPr>
      <w:t>-prozesstechnik</w:t>
    </w:r>
    <w:r>
      <w:rPr>
        <w:rFonts w:ascii="Arial" w:hAnsi="Arial" w:cs="Arial"/>
        <w:lang w:val="fr-FR"/>
      </w:rPr>
      <w:t>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4D7"/>
    <w:multiLevelType w:val="hybridMultilevel"/>
    <w:tmpl w:val="F39AE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7B23"/>
    <w:multiLevelType w:val="hybridMultilevel"/>
    <w:tmpl w:val="80328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987"/>
    <w:rsid w:val="00046EA1"/>
    <w:rsid w:val="00053DF4"/>
    <w:rsid w:val="00073D5F"/>
    <w:rsid w:val="000821F5"/>
    <w:rsid w:val="000849F1"/>
    <w:rsid w:val="00087CF6"/>
    <w:rsid w:val="00092943"/>
    <w:rsid w:val="000965F4"/>
    <w:rsid w:val="000A7E7C"/>
    <w:rsid w:val="000D4838"/>
    <w:rsid w:val="000D5072"/>
    <w:rsid w:val="000F620A"/>
    <w:rsid w:val="00102AE2"/>
    <w:rsid w:val="00111CD6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236"/>
    <w:rsid w:val="001A7735"/>
    <w:rsid w:val="001C11EE"/>
    <w:rsid w:val="001D2DC9"/>
    <w:rsid w:val="001D73FC"/>
    <w:rsid w:val="001E3432"/>
    <w:rsid w:val="001E6197"/>
    <w:rsid w:val="00201B08"/>
    <w:rsid w:val="00222A81"/>
    <w:rsid w:val="00242856"/>
    <w:rsid w:val="002531BC"/>
    <w:rsid w:val="002551D6"/>
    <w:rsid w:val="002676CE"/>
    <w:rsid w:val="00281313"/>
    <w:rsid w:val="00287E24"/>
    <w:rsid w:val="002908C3"/>
    <w:rsid w:val="002D3754"/>
    <w:rsid w:val="002F5999"/>
    <w:rsid w:val="002F5CA4"/>
    <w:rsid w:val="002F7FB6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6371F"/>
    <w:rsid w:val="00366A13"/>
    <w:rsid w:val="00385F0B"/>
    <w:rsid w:val="00394CEC"/>
    <w:rsid w:val="003C2732"/>
    <w:rsid w:val="003E09BA"/>
    <w:rsid w:val="003E5826"/>
    <w:rsid w:val="004029E9"/>
    <w:rsid w:val="0043771A"/>
    <w:rsid w:val="00441D2E"/>
    <w:rsid w:val="00444522"/>
    <w:rsid w:val="00447070"/>
    <w:rsid w:val="00484687"/>
    <w:rsid w:val="00490648"/>
    <w:rsid w:val="004914D2"/>
    <w:rsid w:val="004A5927"/>
    <w:rsid w:val="004A5E37"/>
    <w:rsid w:val="004F30C9"/>
    <w:rsid w:val="005067C7"/>
    <w:rsid w:val="00543B46"/>
    <w:rsid w:val="005546C9"/>
    <w:rsid w:val="00554E98"/>
    <w:rsid w:val="00570B27"/>
    <w:rsid w:val="00572DBD"/>
    <w:rsid w:val="00572E83"/>
    <w:rsid w:val="005735D0"/>
    <w:rsid w:val="005760FC"/>
    <w:rsid w:val="00581AAB"/>
    <w:rsid w:val="00585421"/>
    <w:rsid w:val="005879F1"/>
    <w:rsid w:val="005A252B"/>
    <w:rsid w:val="005B6F1A"/>
    <w:rsid w:val="005C3A1B"/>
    <w:rsid w:val="00615245"/>
    <w:rsid w:val="0065158F"/>
    <w:rsid w:val="006672A8"/>
    <w:rsid w:val="00673086"/>
    <w:rsid w:val="006A0A6E"/>
    <w:rsid w:val="006A470E"/>
    <w:rsid w:val="006A6C26"/>
    <w:rsid w:val="006C36FB"/>
    <w:rsid w:val="006F7246"/>
    <w:rsid w:val="007014D0"/>
    <w:rsid w:val="00715A33"/>
    <w:rsid w:val="007315C1"/>
    <w:rsid w:val="00736B3C"/>
    <w:rsid w:val="00743E1F"/>
    <w:rsid w:val="00745147"/>
    <w:rsid w:val="00797F1F"/>
    <w:rsid w:val="007A5DAF"/>
    <w:rsid w:val="007C1B1A"/>
    <w:rsid w:val="007C4941"/>
    <w:rsid w:val="00803743"/>
    <w:rsid w:val="008100AA"/>
    <w:rsid w:val="00817AFA"/>
    <w:rsid w:val="00833E65"/>
    <w:rsid w:val="00844FF9"/>
    <w:rsid w:val="00865A7E"/>
    <w:rsid w:val="008828CE"/>
    <w:rsid w:val="0089091F"/>
    <w:rsid w:val="00891329"/>
    <w:rsid w:val="00892B82"/>
    <w:rsid w:val="008A3ABE"/>
    <w:rsid w:val="008B37E6"/>
    <w:rsid w:val="008F1F06"/>
    <w:rsid w:val="008F5CD7"/>
    <w:rsid w:val="00900094"/>
    <w:rsid w:val="00901161"/>
    <w:rsid w:val="00920F4F"/>
    <w:rsid w:val="00933F8C"/>
    <w:rsid w:val="009624E7"/>
    <w:rsid w:val="00963C44"/>
    <w:rsid w:val="00967A52"/>
    <w:rsid w:val="009730AE"/>
    <w:rsid w:val="00987433"/>
    <w:rsid w:val="009B24CA"/>
    <w:rsid w:val="009C4B62"/>
    <w:rsid w:val="009D27D7"/>
    <w:rsid w:val="009E03B5"/>
    <w:rsid w:val="009E3AE7"/>
    <w:rsid w:val="009F6B99"/>
    <w:rsid w:val="00A06D09"/>
    <w:rsid w:val="00A13656"/>
    <w:rsid w:val="00A170E7"/>
    <w:rsid w:val="00A21BFC"/>
    <w:rsid w:val="00A549E9"/>
    <w:rsid w:val="00A90824"/>
    <w:rsid w:val="00A91B96"/>
    <w:rsid w:val="00A95E03"/>
    <w:rsid w:val="00AA4901"/>
    <w:rsid w:val="00AB3DFE"/>
    <w:rsid w:val="00AB40CC"/>
    <w:rsid w:val="00AB6A71"/>
    <w:rsid w:val="00AC4E62"/>
    <w:rsid w:val="00AC7380"/>
    <w:rsid w:val="00B122DD"/>
    <w:rsid w:val="00B35041"/>
    <w:rsid w:val="00B352CE"/>
    <w:rsid w:val="00B3624A"/>
    <w:rsid w:val="00B365D7"/>
    <w:rsid w:val="00B4343D"/>
    <w:rsid w:val="00B577E3"/>
    <w:rsid w:val="00B61B4F"/>
    <w:rsid w:val="00B70294"/>
    <w:rsid w:val="00BB523A"/>
    <w:rsid w:val="00BC5960"/>
    <w:rsid w:val="00BC7C74"/>
    <w:rsid w:val="00BD65AA"/>
    <w:rsid w:val="00BD7B6C"/>
    <w:rsid w:val="00BE460E"/>
    <w:rsid w:val="00C00C09"/>
    <w:rsid w:val="00C01784"/>
    <w:rsid w:val="00C05A7E"/>
    <w:rsid w:val="00C05C6A"/>
    <w:rsid w:val="00C05D99"/>
    <w:rsid w:val="00C2138D"/>
    <w:rsid w:val="00C35776"/>
    <w:rsid w:val="00C4019A"/>
    <w:rsid w:val="00C42F72"/>
    <w:rsid w:val="00C642C9"/>
    <w:rsid w:val="00C65AE8"/>
    <w:rsid w:val="00C757B9"/>
    <w:rsid w:val="00C9520D"/>
    <w:rsid w:val="00C9587D"/>
    <w:rsid w:val="00CB54CD"/>
    <w:rsid w:val="00CD0448"/>
    <w:rsid w:val="00CE60F9"/>
    <w:rsid w:val="00CF1E1B"/>
    <w:rsid w:val="00D00AFA"/>
    <w:rsid w:val="00D0278A"/>
    <w:rsid w:val="00D2298C"/>
    <w:rsid w:val="00D459D8"/>
    <w:rsid w:val="00D5140D"/>
    <w:rsid w:val="00D5675F"/>
    <w:rsid w:val="00D82B5B"/>
    <w:rsid w:val="00DA1C18"/>
    <w:rsid w:val="00DA70CB"/>
    <w:rsid w:val="00DB56D9"/>
    <w:rsid w:val="00DC0C43"/>
    <w:rsid w:val="00DC3876"/>
    <w:rsid w:val="00DC7020"/>
    <w:rsid w:val="00DF04A8"/>
    <w:rsid w:val="00E111F5"/>
    <w:rsid w:val="00E15D9C"/>
    <w:rsid w:val="00E401CE"/>
    <w:rsid w:val="00E44934"/>
    <w:rsid w:val="00E571DD"/>
    <w:rsid w:val="00E61194"/>
    <w:rsid w:val="00E717FD"/>
    <w:rsid w:val="00E742ED"/>
    <w:rsid w:val="00E91191"/>
    <w:rsid w:val="00EA3BD8"/>
    <w:rsid w:val="00EA45EA"/>
    <w:rsid w:val="00EB5E8E"/>
    <w:rsid w:val="00ED1540"/>
    <w:rsid w:val="00ED48C8"/>
    <w:rsid w:val="00ED4E2A"/>
    <w:rsid w:val="00EE0F7F"/>
    <w:rsid w:val="00EE7CEA"/>
    <w:rsid w:val="00F30D98"/>
    <w:rsid w:val="00F6134C"/>
    <w:rsid w:val="00F72BE3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111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chendorff-prozesstechnik.de/produktgruppen/bedienen-beobachten/informationen/hmi-mit-touch/cr-ser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180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7</cp:revision>
  <cp:lastPrinted>2019-07-19T10:01:00Z</cp:lastPrinted>
  <dcterms:created xsi:type="dcterms:W3CDTF">2019-07-19T09:45:00Z</dcterms:created>
  <dcterms:modified xsi:type="dcterms:W3CDTF">2019-07-19T10:01:00Z</dcterms:modified>
</cp:coreProperties>
</file>