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A06D09">
        <w:rPr>
          <w:rFonts w:ascii="Arial" w:hAnsi="Arial"/>
          <w:sz w:val="22"/>
          <w:szCs w:val="22"/>
        </w:rPr>
        <w:t>06</w:t>
      </w:r>
      <w:r w:rsidR="004F30C9" w:rsidRPr="00222A81">
        <w:rPr>
          <w:rFonts w:ascii="Arial" w:hAnsi="Arial"/>
          <w:sz w:val="22"/>
          <w:szCs w:val="22"/>
        </w:rPr>
        <w:t xml:space="preserve">. </w:t>
      </w:r>
      <w:r w:rsidR="00A06D09">
        <w:rPr>
          <w:rFonts w:ascii="Arial" w:hAnsi="Arial"/>
          <w:sz w:val="22"/>
          <w:szCs w:val="22"/>
        </w:rPr>
        <w:t>Mai</w:t>
      </w:r>
      <w:r w:rsidR="00E111F5">
        <w:rPr>
          <w:rFonts w:ascii="Arial" w:hAnsi="Arial"/>
          <w:sz w:val="22"/>
          <w:szCs w:val="22"/>
        </w:rPr>
        <w:t xml:space="preserve">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A06D09" w:rsidRPr="00A06D09" w:rsidRDefault="00385F0B" w:rsidP="00A06D0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A06D09">
        <w:rPr>
          <w:rFonts w:ascii="Arial" w:hAnsi="Arial" w:cs="Arial"/>
          <w:b/>
          <w:bCs/>
          <w:sz w:val="22"/>
          <w:szCs w:val="22"/>
        </w:rPr>
        <w:t>911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963C44">
        <w:rPr>
          <w:rFonts w:ascii="Arial" w:hAnsi="Arial" w:cs="Arial"/>
          <w:b/>
          <w:bCs/>
          <w:sz w:val="22"/>
          <w:szCs w:val="22"/>
        </w:rPr>
        <w:t xml:space="preserve"> </w:t>
      </w:r>
      <w:r w:rsidR="00E15D9C" w:rsidRPr="00E15D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6D09" w:rsidRPr="00A06D09">
        <w:rPr>
          <w:rFonts w:ascii="Arial" w:eastAsiaTheme="minorHAnsi" w:hAnsi="Arial" w:cs="Arial"/>
          <w:b/>
          <w:sz w:val="22"/>
          <w:szCs w:val="22"/>
          <w:lang w:eastAsia="en-US"/>
        </w:rPr>
        <w:t>Maschinen/Anlagen zuverlässig, sicher und effektiv bedienen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A06D09" w:rsidRPr="00A06D09" w:rsidRDefault="00A06D09" w:rsidP="00A06D09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06D09">
        <w:rPr>
          <w:rFonts w:ascii="Arial" w:hAnsi="Arial" w:cs="Arial"/>
          <w:b/>
          <w:color w:val="000000"/>
          <w:sz w:val="22"/>
          <w:szCs w:val="22"/>
        </w:rPr>
        <w:t>Smart Factory Solution</w:t>
      </w:r>
    </w:p>
    <w:p w:rsidR="00A06D09" w:rsidRDefault="00A06D09" w:rsidP="00A06D09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06D09">
        <w:rPr>
          <w:rFonts w:ascii="Arial" w:hAnsi="Arial" w:cs="Arial"/>
          <w:b/>
          <w:color w:val="000000"/>
          <w:sz w:val="22"/>
          <w:szCs w:val="22"/>
        </w:rPr>
        <w:t>Control Token für das HMI-Sicherheitsmanagement</w:t>
      </w:r>
    </w:p>
    <w:p w:rsidR="00A06D09" w:rsidRPr="00A06D09" w:rsidRDefault="00A06D09" w:rsidP="00A06D0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06D09">
        <w:rPr>
          <w:rFonts w:ascii="Arial" w:eastAsiaTheme="minorHAnsi" w:hAnsi="Arial" w:cs="Arial"/>
          <w:b/>
          <w:sz w:val="22"/>
          <w:szCs w:val="22"/>
          <w:lang w:eastAsia="en-US"/>
        </w:rPr>
        <w:t>Maschinen/Anlagen zuverlässig, sicher und effektiv bedienen</w:t>
      </w:r>
    </w:p>
    <w:p w:rsidR="00A06D09" w:rsidRPr="00A06D09" w:rsidRDefault="00A06D09" w:rsidP="00A06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06D09">
        <w:rPr>
          <w:rFonts w:ascii="Arial" w:eastAsiaTheme="minorHAnsi" w:hAnsi="Arial" w:cs="Arial"/>
          <w:sz w:val="22"/>
          <w:szCs w:val="22"/>
          <w:lang w:eastAsia="en-US"/>
        </w:rPr>
        <w:t>Haben Sie hin und wieder Bedenken, dass Ihre Maschinen/Anlagen gleichzeitig v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on mehreren HMI oder 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>Geräten (Mobiltelefone, Tablets, Computer.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>..etc.) gesteuert werden könnte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 und es dadurch zu Sicherheitsrisiken kommen könnte?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 Oder h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>aben Sie gelegentlich das Gefühl, dass Sie während des Betriebs eines Geräts gestört werden?</w:t>
      </w:r>
    </w:p>
    <w:p w:rsidR="00A06D09" w:rsidRPr="00A06D09" w:rsidRDefault="00A06D09" w:rsidP="00A06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Wäre es 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dann 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nicht toll, wenn Sie überprüfen könnten, ob ein Gerät 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tatsächlich 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>von einem anderen verwendet w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>ird? Oder Sie in der Lage wären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 Benachrichtigungen zu versenden und andere Benutzer daran zu hindern, das von Ihnen verwendete Gerät zu bedienen?</w:t>
      </w:r>
    </w:p>
    <w:p w:rsidR="00A06D09" w:rsidRPr="00A06D09" w:rsidRDefault="00A06D09" w:rsidP="00A06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06D09">
        <w:rPr>
          <w:rFonts w:ascii="Arial" w:eastAsiaTheme="minorHAnsi" w:hAnsi="Arial" w:cs="Arial"/>
          <w:sz w:val="22"/>
          <w:szCs w:val="22"/>
          <w:lang w:eastAsia="en-US"/>
        </w:rPr>
        <w:t>Als Reaktion auf diese Anforderungen gibt es jetzt für die Wachendorff Bediengeräte der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A06D09">
        <w:rPr>
          <w:rFonts w:ascii="Arial" w:eastAsiaTheme="minorHAnsi" w:hAnsi="Arial" w:cs="Arial"/>
          <w:sz w:val="22"/>
          <w:szCs w:val="22"/>
          <w:lang w:eastAsia="en-US"/>
        </w:rPr>
        <w:t>cMT</w:t>
      </w:r>
      <w:proofErr w:type="spellEnd"/>
      <w:r w:rsidRPr="00A06D09">
        <w:rPr>
          <w:rFonts w:ascii="Arial" w:eastAsiaTheme="minorHAnsi" w:hAnsi="Arial" w:cs="Arial"/>
          <w:sz w:val="22"/>
          <w:szCs w:val="22"/>
          <w:lang w:eastAsia="en-US"/>
        </w:rPr>
        <w:t>-Serie eine neue Funktion: d</w:t>
      </w:r>
      <w:r w:rsidRPr="00A06D09">
        <w:rPr>
          <w:rFonts w:ascii="Arial" w:eastAsiaTheme="minorHAnsi" w:hAnsi="Arial" w:cs="Arial"/>
          <w:sz w:val="22"/>
          <w:szCs w:val="22"/>
          <w:lang w:eastAsia="en-US"/>
        </w:rPr>
        <w:t xml:space="preserve">en Steuerungs- bzw. Control-Token, der sicherstellt, dass nur der Benutzer, der den Control-Token erhält, das Produktionsgerät auf einem HMI oder einem beliebigen Anzeigegerät mit dem </w:t>
      </w:r>
      <w:proofErr w:type="spellStart"/>
      <w:r w:rsidRPr="00A06D09">
        <w:rPr>
          <w:rFonts w:ascii="Arial" w:eastAsiaTheme="minorHAnsi" w:hAnsi="Arial" w:cs="Arial"/>
          <w:sz w:val="22"/>
          <w:szCs w:val="22"/>
          <w:lang w:eastAsia="en-US"/>
        </w:rPr>
        <w:t>cMT</w:t>
      </w:r>
      <w:proofErr w:type="spellEnd"/>
      <w:r w:rsidRPr="00A06D09">
        <w:rPr>
          <w:rFonts w:ascii="Arial" w:eastAsiaTheme="minorHAnsi" w:hAnsi="Arial" w:cs="Arial"/>
          <w:sz w:val="22"/>
          <w:szCs w:val="22"/>
          <w:lang w:eastAsia="en-US"/>
        </w:rPr>
        <w:t>-Viewer bedienen kann.</w:t>
      </w:r>
    </w:p>
    <w:p w:rsidR="00A06D09" w:rsidRPr="00A06D09" w:rsidRDefault="00A06D09" w:rsidP="00A06D0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06D09">
        <w:rPr>
          <w:rFonts w:ascii="Arial" w:eastAsiaTheme="minorHAnsi" w:hAnsi="Arial" w:cs="Arial"/>
          <w:sz w:val="22"/>
          <w:szCs w:val="22"/>
          <w:lang w:eastAsia="en-US"/>
        </w:rPr>
        <w:t>Sobald ein Client den Control-Token erhält, darf kein anderer Client das Gerät gleichzeitig steuern, so dass der Token-Besitzer sicher sein kann, dass der Betrieb nicht beeinträchtigt wird. Die Weitergabe von Control-Token kann unnötige Konflikte beseitigen und damit Ressourcen sowie Zeit sparen.</w:t>
      </w:r>
    </w:p>
    <w:p w:rsidR="00A06D09" w:rsidRDefault="00A06D09" w:rsidP="00A06D0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06D09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E111F5">
        <w:rPr>
          <w:rFonts w:ascii="Arial" w:hAnsi="Arial" w:cs="Arial"/>
          <w:color w:val="000000"/>
          <w:sz w:val="22"/>
          <w:szCs w:val="22"/>
        </w:rPr>
        <w:t>ehr Informationen:</w:t>
      </w:r>
    </w:p>
    <w:p w:rsidR="00A06D09" w:rsidRPr="00A06D09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A06D09">
          <w:rPr>
            <w:rStyle w:val="Hyperlink"/>
            <w:rFonts w:ascii="Arial" w:hAnsi="Arial" w:cs="Arial"/>
            <w:sz w:val="20"/>
            <w:szCs w:val="20"/>
          </w:rPr>
          <w:t>https://www.wachendorff-prozesstechnik.de/produktgruppen/bedienen-beobachten/informationen/smart-hmi-iiot/</w:t>
        </w:r>
      </w:hyperlink>
    </w:p>
    <w:p w:rsidR="00A06D09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FD2D8E" wp14:editId="68C955DC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2167200" cy="1440000"/>
            <wp:effectExtent l="0" t="0" r="508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1911_Wachendorff_cMT_ControlTo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D09" w:rsidRDefault="00E15D9C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Bild</w:t>
      </w:r>
      <w:r w:rsidR="00E111F5">
        <w:rPr>
          <w:rFonts w:ascii="Arial" w:hAnsi="Arial" w:cs="Arial"/>
          <w:color w:val="000000"/>
          <w:sz w:val="22"/>
          <w:szCs w:val="22"/>
        </w:rPr>
        <w:t xml:space="preserve"> (Wachendorff Prozesstechnik):</w:t>
      </w:r>
    </w:p>
    <w:p w:rsidR="00A06D09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06D09" w:rsidRDefault="00A06D09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06D09">
        <w:rPr>
          <w:rFonts w:ascii="Arial" w:hAnsi="Arial" w:cs="Arial"/>
          <w:color w:val="000000"/>
          <w:sz w:val="22"/>
          <w:szCs w:val="22"/>
        </w:rPr>
        <w:t>WP1911_Wachendorff_cMT_ControlToken</w:t>
      </w:r>
      <w:r>
        <w:rPr>
          <w:rFonts w:ascii="Arial" w:hAnsi="Arial" w:cs="Arial"/>
          <w:color w:val="000000"/>
          <w:sz w:val="22"/>
          <w:szCs w:val="22"/>
        </w:rPr>
        <w:t>.jpg</w:t>
      </w:r>
      <w:bookmarkStart w:id="0" w:name="_GoBack"/>
      <w:bookmarkEnd w:id="0"/>
    </w:p>
    <w:sectPr w:rsidR="00A06D09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B23"/>
    <w:multiLevelType w:val="hybridMultilevel"/>
    <w:tmpl w:val="80328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65F4"/>
    <w:rsid w:val="000A7E7C"/>
    <w:rsid w:val="000D4838"/>
    <w:rsid w:val="000D5072"/>
    <w:rsid w:val="000F620A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D73FC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E5826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F30C9"/>
    <w:rsid w:val="005067C7"/>
    <w:rsid w:val="00543B46"/>
    <w:rsid w:val="005546C9"/>
    <w:rsid w:val="00554E98"/>
    <w:rsid w:val="00570B27"/>
    <w:rsid w:val="00572DBD"/>
    <w:rsid w:val="005735D0"/>
    <w:rsid w:val="005760FC"/>
    <w:rsid w:val="00581AAB"/>
    <w:rsid w:val="00585421"/>
    <w:rsid w:val="005879F1"/>
    <w:rsid w:val="005A252B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1329"/>
    <w:rsid w:val="00892B82"/>
    <w:rsid w:val="008A3ABE"/>
    <w:rsid w:val="008B37E6"/>
    <w:rsid w:val="008F1F06"/>
    <w:rsid w:val="008F5CD7"/>
    <w:rsid w:val="00900094"/>
    <w:rsid w:val="00901161"/>
    <w:rsid w:val="00920F4F"/>
    <w:rsid w:val="00933F8C"/>
    <w:rsid w:val="009624E7"/>
    <w:rsid w:val="00963C44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06D09"/>
    <w:rsid w:val="00A13656"/>
    <w:rsid w:val="00A170E7"/>
    <w:rsid w:val="00A21BFC"/>
    <w:rsid w:val="00A549E9"/>
    <w:rsid w:val="00A90824"/>
    <w:rsid w:val="00A91B96"/>
    <w:rsid w:val="00A95E03"/>
    <w:rsid w:val="00AA4901"/>
    <w:rsid w:val="00AB3DFE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61B4F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C6A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111F5"/>
    <w:rsid w:val="00E15D9C"/>
    <w:rsid w:val="00E401CE"/>
    <w:rsid w:val="00E44934"/>
    <w:rsid w:val="00E571DD"/>
    <w:rsid w:val="00E61194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30D98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produktgruppen/bedienen-beobachten/informationen/smart-hmi-iio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3</cp:revision>
  <cp:lastPrinted>2019-07-19T09:31:00Z</cp:lastPrinted>
  <dcterms:created xsi:type="dcterms:W3CDTF">2019-07-19T09:32:00Z</dcterms:created>
  <dcterms:modified xsi:type="dcterms:W3CDTF">2019-07-19T09:43:00Z</dcterms:modified>
</cp:coreProperties>
</file>