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AB3DFE">
        <w:rPr>
          <w:rFonts w:ascii="Arial" w:hAnsi="Arial"/>
          <w:sz w:val="22"/>
          <w:szCs w:val="22"/>
        </w:rPr>
        <w:t>12</w:t>
      </w:r>
      <w:r w:rsidR="004F30C9" w:rsidRPr="00222A81">
        <w:rPr>
          <w:rFonts w:ascii="Arial" w:hAnsi="Arial"/>
          <w:sz w:val="22"/>
          <w:szCs w:val="22"/>
        </w:rPr>
        <w:t xml:space="preserve">. </w:t>
      </w:r>
      <w:r w:rsidR="00E111F5">
        <w:rPr>
          <w:rFonts w:ascii="Arial" w:hAnsi="Arial"/>
          <w:sz w:val="22"/>
          <w:szCs w:val="22"/>
        </w:rPr>
        <w:t xml:space="preserve">April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E15D9C" w:rsidRPr="00E15D9C" w:rsidRDefault="00385F0B" w:rsidP="00E15D9C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F30D98">
        <w:rPr>
          <w:rFonts w:ascii="Arial" w:hAnsi="Arial" w:cs="Arial"/>
          <w:b/>
          <w:bCs/>
          <w:sz w:val="22"/>
          <w:szCs w:val="22"/>
        </w:rPr>
        <w:t>909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963C44">
        <w:rPr>
          <w:rFonts w:ascii="Arial" w:hAnsi="Arial" w:cs="Arial"/>
          <w:b/>
          <w:bCs/>
          <w:sz w:val="22"/>
          <w:szCs w:val="22"/>
        </w:rPr>
        <w:t xml:space="preserve"> </w:t>
      </w:r>
      <w:r w:rsidR="00E15D9C" w:rsidRPr="00E15D9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8F1F06" w:rsidRDefault="008F1F0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F1F06">
        <w:rPr>
          <w:rFonts w:ascii="Arial" w:hAnsi="Arial" w:cs="Arial"/>
          <w:b/>
          <w:color w:val="000000"/>
          <w:sz w:val="22"/>
          <w:szCs w:val="22"/>
        </w:rPr>
        <w:t xml:space="preserve">Konfiguration über PC </w:t>
      </w:r>
    </w:p>
    <w:p w:rsidR="008F1F06" w:rsidRDefault="008F1F0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Viele </w:t>
      </w:r>
      <w:r w:rsidRPr="008F1F06">
        <w:rPr>
          <w:rFonts w:ascii="Arial" w:hAnsi="Arial" w:cs="Arial"/>
          <w:b/>
          <w:color w:val="000000"/>
          <w:sz w:val="22"/>
          <w:szCs w:val="22"/>
        </w:rPr>
        <w:t>Vorteile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durch Konfiguration per PC</w:t>
      </w:r>
    </w:p>
    <w:p w:rsidR="00E61194" w:rsidRPr="008F1F06" w:rsidRDefault="00E61194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Vertikal oder horizontal einbauen – OLED macht es möglich</w:t>
      </w:r>
    </w:p>
    <w:p w:rsidR="008F1F06" w:rsidRPr="008F1F06" w:rsidRDefault="008F1F0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F1F06">
        <w:rPr>
          <w:rFonts w:ascii="Arial" w:hAnsi="Arial" w:cs="Arial"/>
          <w:color w:val="000000"/>
          <w:sz w:val="22"/>
          <w:szCs w:val="22"/>
        </w:rPr>
        <w:t xml:space="preserve">Mit der neuen Software-Version 3.4.2.0 können nun alle Geräte der nachstehend angeführten Serien </w:t>
      </w:r>
      <w:r>
        <w:rPr>
          <w:rFonts w:ascii="Arial" w:hAnsi="Arial" w:cs="Arial"/>
          <w:color w:val="000000"/>
          <w:sz w:val="22"/>
          <w:szCs w:val="22"/>
        </w:rPr>
        <w:t xml:space="preserve">Anzeigen und Regler aus dem Hause Wachendorff Prozesstechnik </w:t>
      </w:r>
      <w:r w:rsidRPr="008F1F06">
        <w:rPr>
          <w:rFonts w:ascii="Arial" w:hAnsi="Arial" w:cs="Arial"/>
          <w:color w:val="000000"/>
          <w:sz w:val="22"/>
          <w:szCs w:val="22"/>
        </w:rPr>
        <w:t xml:space="preserve">schnell und einfach über einen PC konfiguriert werden: TA-,TI-, VZ- und ZD-Serie, UA964801, UA964802 sowie die </w:t>
      </w:r>
      <w:r w:rsidR="00E61194">
        <w:rPr>
          <w:rFonts w:ascii="Arial" w:hAnsi="Arial" w:cs="Arial"/>
          <w:color w:val="000000"/>
          <w:sz w:val="22"/>
          <w:szCs w:val="22"/>
        </w:rPr>
        <w:t xml:space="preserve">folgenden </w:t>
      </w:r>
      <w:r w:rsidRPr="008F1F06">
        <w:rPr>
          <w:rFonts w:ascii="Arial" w:hAnsi="Arial" w:cs="Arial"/>
          <w:color w:val="000000"/>
          <w:sz w:val="22"/>
          <w:szCs w:val="22"/>
        </w:rPr>
        <w:t>UR-Serie</w:t>
      </w:r>
      <w:r w:rsidR="00E61194">
        <w:rPr>
          <w:rFonts w:ascii="Arial" w:hAnsi="Arial" w:cs="Arial"/>
          <w:color w:val="000000"/>
          <w:sz w:val="22"/>
          <w:szCs w:val="22"/>
        </w:rPr>
        <w:t>n</w:t>
      </w:r>
      <w:r w:rsidRPr="008F1F06">
        <w:rPr>
          <w:rFonts w:ascii="Arial" w:hAnsi="Arial" w:cs="Arial"/>
          <w:color w:val="000000"/>
          <w:sz w:val="22"/>
          <w:szCs w:val="22"/>
        </w:rPr>
        <w:t>: UR3274S, UR3274U, UR484802, UR484803, UR484804, UR48481A, UR48482A, UR48483A, UR48484A, URDR0001.</w:t>
      </w:r>
    </w:p>
    <w:p w:rsidR="008F1F06" w:rsidRPr="008F1F06" w:rsidRDefault="008F1F0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F1F06">
        <w:rPr>
          <w:rFonts w:ascii="Arial" w:hAnsi="Arial" w:cs="Arial"/>
          <w:color w:val="000000"/>
          <w:sz w:val="22"/>
          <w:szCs w:val="22"/>
        </w:rPr>
        <w:t>Das wird die zahlreichen Nutzer sicher sehr freuen, denn im Vergleich zur Programmierung über die Fronttasten, kommt es zu einigen Vorteilen:</w:t>
      </w:r>
      <w:r w:rsidR="00E611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1F06">
        <w:rPr>
          <w:rFonts w:ascii="Arial" w:hAnsi="Arial" w:cs="Arial"/>
          <w:color w:val="000000"/>
          <w:sz w:val="22"/>
          <w:szCs w:val="22"/>
        </w:rPr>
        <w:t>gleichzeitige Visualisierung aller Parameter</w:t>
      </w:r>
      <w:r w:rsidR="00E6119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8F1F06">
        <w:rPr>
          <w:rFonts w:ascii="Arial" w:hAnsi="Arial" w:cs="Arial"/>
          <w:color w:val="000000"/>
          <w:sz w:val="22"/>
          <w:szCs w:val="22"/>
        </w:rPr>
        <w:t>Echtzeit-Betrachtung des Gerätebetriebs, um die Auswirkung der Einstellung der Geräteparameter zu überprüfen</w:t>
      </w:r>
      <w:r w:rsidR="00E6119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8F1F06">
        <w:rPr>
          <w:rFonts w:ascii="Arial" w:hAnsi="Arial" w:cs="Arial"/>
          <w:color w:val="000000"/>
          <w:sz w:val="22"/>
          <w:szCs w:val="22"/>
        </w:rPr>
        <w:t>Möglichkeit der Speicherung der Konfigurationen als Datei, um diese schnell auf weitere Geräte zu übertragen.</w:t>
      </w:r>
    </w:p>
    <w:p w:rsidR="008F1F06" w:rsidRPr="008F1F06" w:rsidRDefault="00E61194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E3BCF3" wp14:editId="2CD486FA">
            <wp:simplePos x="0" y="0"/>
            <wp:positionH relativeFrom="column">
              <wp:posOffset>5123815</wp:posOffset>
            </wp:positionH>
            <wp:positionV relativeFrom="paragraph">
              <wp:posOffset>1097915</wp:posOffset>
            </wp:positionV>
            <wp:extent cx="1257300" cy="2495502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1909_PC_Konfiguration_Reg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33" cy="251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2"/>
        </w:rPr>
        <w:t xml:space="preserve">Nicht zu vergessen: </w:t>
      </w:r>
      <w:r w:rsidR="008F1F06" w:rsidRPr="008F1F06">
        <w:rPr>
          <w:rFonts w:ascii="Arial" w:hAnsi="Arial" w:cs="Arial"/>
          <w:color w:val="000000"/>
          <w:sz w:val="22"/>
          <w:szCs w:val="22"/>
        </w:rPr>
        <w:t xml:space="preserve">Die Anzeigen/Regler </w:t>
      </w:r>
      <w:r>
        <w:rPr>
          <w:rFonts w:ascii="Arial" w:hAnsi="Arial" w:cs="Arial"/>
          <w:color w:val="000000"/>
          <w:sz w:val="22"/>
          <w:szCs w:val="22"/>
        </w:rPr>
        <w:t xml:space="preserve">aus dem Wachendorff-Programm </w:t>
      </w:r>
      <w:r w:rsidR="008F1F06" w:rsidRPr="008F1F06">
        <w:rPr>
          <w:rFonts w:ascii="Arial" w:hAnsi="Arial" w:cs="Arial"/>
          <w:color w:val="000000"/>
          <w:sz w:val="22"/>
          <w:szCs w:val="22"/>
        </w:rPr>
        <w:t>mit OLED</w:t>
      </w:r>
      <w:r>
        <w:rPr>
          <w:rFonts w:ascii="Arial" w:hAnsi="Arial" w:cs="Arial"/>
          <w:color w:val="000000"/>
          <w:sz w:val="22"/>
          <w:szCs w:val="22"/>
        </w:rPr>
        <w:t>-Display können sowohl vertikal</w:t>
      </w:r>
      <w:r w:rsidR="008F1F06" w:rsidRPr="008F1F06">
        <w:rPr>
          <w:rFonts w:ascii="Arial" w:hAnsi="Arial" w:cs="Arial"/>
          <w:color w:val="000000"/>
          <w:sz w:val="22"/>
          <w:szCs w:val="22"/>
        </w:rPr>
        <w:t xml:space="preserve"> als auch horizontal eingebaut werden. Dank der sehr geringen Einbautiefe, den abnehmbaren Klemmblöcken und der universellen Spannungsversorgung </w:t>
      </w:r>
      <w:r>
        <w:rPr>
          <w:rFonts w:ascii="Arial" w:hAnsi="Arial" w:cs="Arial"/>
          <w:color w:val="000000"/>
          <w:sz w:val="22"/>
          <w:szCs w:val="22"/>
        </w:rPr>
        <w:t xml:space="preserve">sind </w:t>
      </w:r>
      <w:r w:rsidR="008F1F06" w:rsidRPr="008F1F06">
        <w:rPr>
          <w:rFonts w:ascii="Arial" w:hAnsi="Arial" w:cs="Arial"/>
          <w:color w:val="000000"/>
          <w:sz w:val="22"/>
          <w:szCs w:val="22"/>
        </w:rPr>
        <w:t>die</w:t>
      </w:r>
      <w:r>
        <w:rPr>
          <w:rFonts w:ascii="Arial" w:hAnsi="Arial" w:cs="Arial"/>
          <w:color w:val="000000"/>
          <w:sz w:val="22"/>
          <w:szCs w:val="22"/>
        </w:rPr>
        <w:t>se</w:t>
      </w:r>
      <w:r w:rsidR="008F1F06" w:rsidRPr="008F1F06">
        <w:rPr>
          <w:rFonts w:ascii="Arial" w:hAnsi="Arial" w:cs="Arial"/>
          <w:color w:val="000000"/>
          <w:sz w:val="22"/>
          <w:szCs w:val="22"/>
        </w:rPr>
        <w:t xml:space="preserve"> Anzeige</w:t>
      </w:r>
      <w:r>
        <w:rPr>
          <w:rFonts w:ascii="Arial" w:hAnsi="Arial" w:cs="Arial"/>
          <w:color w:val="000000"/>
          <w:sz w:val="22"/>
          <w:szCs w:val="22"/>
        </w:rPr>
        <w:t>n und Regler</w:t>
      </w:r>
      <w:r w:rsidR="008F1F06" w:rsidRPr="008F1F06">
        <w:rPr>
          <w:rFonts w:ascii="Arial" w:hAnsi="Arial" w:cs="Arial"/>
          <w:color w:val="000000"/>
          <w:sz w:val="22"/>
          <w:szCs w:val="22"/>
        </w:rPr>
        <w:t xml:space="preserve"> für unterschiedlichste Applikationen und den Einsatz im oft rauen Industriealltag hervorragend geeignet.</w:t>
      </w:r>
    </w:p>
    <w:p w:rsidR="008F1F06" w:rsidRDefault="008F1F0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61194" w:rsidRDefault="00E111F5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Mehr Informationen:</w:t>
      </w:r>
      <w:r w:rsidR="00E6119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15D9C" w:rsidRPr="00E61194" w:rsidRDefault="00E61194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Pr="00E61194">
          <w:rPr>
            <w:rStyle w:val="Hyperlink"/>
            <w:rFonts w:ascii="Arial" w:hAnsi="Arial" w:cs="Arial"/>
            <w:sz w:val="18"/>
            <w:szCs w:val="18"/>
          </w:rPr>
          <w:t>https://www.wachendorff-prozesstechnik.de/produktgruppen/einbaumessgeraete-und-pid-regler/</w:t>
        </w:r>
      </w:hyperlink>
    </w:p>
    <w:p w:rsidR="00E61194" w:rsidRDefault="00E61194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AB3DFE" w:rsidRDefault="00E15D9C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Bild</w:t>
      </w:r>
      <w:r w:rsidR="00E111F5">
        <w:rPr>
          <w:rFonts w:ascii="Arial" w:hAnsi="Arial" w:cs="Arial"/>
          <w:color w:val="000000"/>
          <w:sz w:val="22"/>
          <w:szCs w:val="22"/>
        </w:rPr>
        <w:t xml:space="preserve"> (Wachendorff Prozesstechnik):</w:t>
      </w:r>
    </w:p>
    <w:p w:rsidR="008F1F06" w:rsidRDefault="008F1F06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61194" w:rsidRDefault="00E61194" w:rsidP="008F1F06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61194">
        <w:rPr>
          <w:rFonts w:ascii="Arial" w:hAnsi="Arial" w:cs="Arial"/>
          <w:color w:val="000000"/>
          <w:sz w:val="22"/>
          <w:szCs w:val="22"/>
        </w:rPr>
        <w:t>WP1909_PC_Konfiguration_Regler</w:t>
      </w:r>
      <w:r>
        <w:rPr>
          <w:rFonts w:ascii="Arial" w:hAnsi="Arial" w:cs="Arial"/>
          <w:color w:val="000000"/>
          <w:sz w:val="22"/>
          <w:szCs w:val="22"/>
        </w:rPr>
        <w:t>.jpg</w:t>
      </w:r>
      <w:bookmarkStart w:id="0" w:name="_GoBack"/>
      <w:bookmarkEnd w:id="0"/>
    </w:p>
    <w:sectPr w:rsidR="00E61194" w:rsidSect="00B352CE">
      <w:headerReference w:type="default" r:id="rId9"/>
      <w:headerReference w:type="first" r:id="rId10"/>
      <w:footerReference w:type="first" r:id="rId11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B23"/>
    <w:multiLevelType w:val="hybridMultilevel"/>
    <w:tmpl w:val="80328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65F4"/>
    <w:rsid w:val="000A7E7C"/>
    <w:rsid w:val="000D4838"/>
    <w:rsid w:val="000D5072"/>
    <w:rsid w:val="000F620A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D73FC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E5826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F30C9"/>
    <w:rsid w:val="005067C7"/>
    <w:rsid w:val="00543B46"/>
    <w:rsid w:val="005546C9"/>
    <w:rsid w:val="00554E98"/>
    <w:rsid w:val="00570B27"/>
    <w:rsid w:val="00572DBD"/>
    <w:rsid w:val="005735D0"/>
    <w:rsid w:val="005760FC"/>
    <w:rsid w:val="00581AAB"/>
    <w:rsid w:val="00585421"/>
    <w:rsid w:val="005879F1"/>
    <w:rsid w:val="005A252B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1329"/>
    <w:rsid w:val="00892B82"/>
    <w:rsid w:val="008A3ABE"/>
    <w:rsid w:val="008B37E6"/>
    <w:rsid w:val="008F1F06"/>
    <w:rsid w:val="008F5CD7"/>
    <w:rsid w:val="00900094"/>
    <w:rsid w:val="00901161"/>
    <w:rsid w:val="00920F4F"/>
    <w:rsid w:val="00933F8C"/>
    <w:rsid w:val="009624E7"/>
    <w:rsid w:val="00963C44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3DFE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61B4F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C6A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111F5"/>
    <w:rsid w:val="00E15D9C"/>
    <w:rsid w:val="00E401CE"/>
    <w:rsid w:val="00E44934"/>
    <w:rsid w:val="00E571DD"/>
    <w:rsid w:val="00E61194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30D98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prozesstechnik.de/produktgruppen/einbaumessgeraete-und-pid-regl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215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4</cp:revision>
  <cp:lastPrinted>2019-07-19T09:04:00Z</cp:lastPrinted>
  <dcterms:created xsi:type="dcterms:W3CDTF">2019-07-19T09:05:00Z</dcterms:created>
  <dcterms:modified xsi:type="dcterms:W3CDTF">2019-07-19T09:31:00Z</dcterms:modified>
</cp:coreProperties>
</file>