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F1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r w:rsidR="00920F4F">
        <w:rPr>
          <w:rFonts w:ascii="Arial" w:hAnsi="Arial"/>
          <w:sz w:val="22"/>
          <w:szCs w:val="22"/>
          <w:lang w:val="it-IT"/>
        </w:rPr>
        <w:t>:</w:t>
      </w:r>
      <w:proofErr w:type="spellEnd"/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Default="00385F0B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 w:rsidRPr="00615245">
        <w:rPr>
          <w:rFonts w:ascii="Arial" w:hAnsi="Arial"/>
        </w:rPr>
        <w:tab/>
      </w:r>
      <w:r w:rsidR="00AB3DFE">
        <w:rPr>
          <w:rFonts w:ascii="Arial" w:hAnsi="Arial"/>
          <w:sz w:val="22"/>
          <w:szCs w:val="22"/>
        </w:rPr>
        <w:t>12</w:t>
      </w:r>
      <w:r w:rsidR="004F30C9" w:rsidRPr="00222A81">
        <w:rPr>
          <w:rFonts w:ascii="Arial" w:hAnsi="Arial"/>
          <w:sz w:val="22"/>
          <w:szCs w:val="22"/>
        </w:rPr>
        <w:t xml:space="preserve">. </w:t>
      </w:r>
      <w:r w:rsidR="00E111F5">
        <w:rPr>
          <w:rFonts w:ascii="Arial" w:hAnsi="Arial"/>
          <w:sz w:val="22"/>
          <w:szCs w:val="22"/>
        </w:rPr>
        <w:t xml:space="preserve">April </w:t>
      </w:r>
      <w:r w:rsidR="00A95E03" w:rsidRPr="00222A81">
        <w:rPr>
          <w:rFonts w:ascii="Arial" w:hAnsi="Arial"/>
          <w:sz w:val="22"/>
          <w:szCs w:val="22"/>
        </w:rPr>
        <w:t>201</w:t>
      </w:r>
      <w:r w:rsidR="00901161" w:rsidRPr="00222A81">
        <w:rPr>
          <w:rFonts w:ascii="Arial" w:hAnsi="Arial"/>
          <w:sz w:val="22"/>
          <w:szCs w:val="22"/>
        </w:rPr>
        <w:t>9</w:t>
      </w:r>
    </w:p>
    <w:p w:rsidR="000849F1" w:rsidRPr="00222A81" w:rsidRDefault="000849F1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</w:p>
    <w:p w:rsidR="00963C44" w:rsidRDefault="00385F0B" w:rsidP="00963C44">
      <w:pPr>
        <w:pStyle w:val="StandardWeb"/>
        <w:spacing w:before="0" w:beforeAutospacing="0" w:after="0" w:afterAutospacing="0" w:line="360" w:lineRule="auto"/>
        <w:rPr>
          <w:rStyle w:val="Fett"/>
          <w:rFonts w:ascii="Arial" w:hAnsi="Arial" w:cs="Arial"/>
          <w:color w:val="000000"/>
          <w:sz w:val="22"/>
          <w:szCs w:val="22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C9587D" w:rsidRPr="00AC4E62">
        <w:rPr>
          <w:rFonts w:ascii="Arial" w:hAnsi="Arial" w:cs="Arial"/>
          <w:b/>
          <w:bCs/>
          <w:sz w:val="22"/>
          <w:szCs w:val="22"/>
        </w:rPr>
        <w:t>P1</w:t>
      </w:r>
      <w:r w:rsidR="00AB3DFE">
        <w:rPr>
          <w:rFonts w:ascii="Arial" w:hAnsi="Arial" w:cs="Arial"/>
          <w:b/>
          <w:bCs/>
          <w:sz w:val="22"/>
          <w:szCs w:val="22"/>
        </w:rPr>
        <w:t>907</w:t>
      </w:r>
      <w:r w:rsidR="00E571DD" w:rsidRPr="00AC4E62">
        <w:rPr>
          <w:rFonts w:ascii="Arial" w:hAnsi="Arial" w:cs="Arial"/>
          <w:b/>
          <w:bCs/>
          <w:sz w:val="22"/>
          <w:szCs w:val="22"/>
        </w:rPr>
        <w:t>:</w:t>
      </w:r>
      <w:r w:rsidR="001A5236" w:rsidRPr="00AC4E62">
        <w:rPr>
          <w:rFonts w:ascii="Arial" w:hAnsi="Arial" w:cs="Arial"/>
          <w:b/>
          <w:bCs/>
          <w:sz w:val="22"/>
          <w:szCs w:val="22"/>
        </w:rPr>
        <w:t xml:space="preserve"> </w:t>
      </w:r>
      <w:r w:rsidR="00963C44">
        <w:rPr>
          <w:rFonts w:ascii="Arial" w:hAnsi="Arial" w:cs="Arial"/>
          <w:b/>
          <w:bCs/>
          <w:sz w:val="22"/>
          <w:szCs w:val="22"/>
        </w:rPr>
        <w:t xml:space="preserve"> </w:t>
      </w:r>
      <w:r w:rsidR="00963C44" w:rsidRPr="00AB3DFE">
        <w:rPr>
          <w:rStyle w:val="Fett"/>
          <w:rFonts w:ascii="Arial" w:hAnsi="Arial" w:cs="Arial"/>
          <w:color w:val="000000"/>
          <w:sz w:val="22"/>
          <w:szCs w:val="22"/>
        </w:rPr>
        <w:t xml:space="preserve">Industrial Ethernet Switch mit </w:t>
      </w:r>
      <w:proofErr w:type="spellStart"/>
      <w:r w:rsidR="00963C44" w:rsidRPr="00AB3DFE">
        <w:rPr>
          <w:rStyle w:val="Fett"/>
          <w:rFonts w:ascii="Arial" w:hAnsi="Arial" w:cs="Arial"/>
          <w:color w:val="000000"/>
          <w:sz w:val="22"/>
          <w:szCs w:val="22"/>
        </w:rPr>
        <w:t>PoE</w:t>
      </w:r>
      <w:proofErr w:type="spellEnd"/>
      <w:r w:rsidR="00963C44" w:rsidRPr="00AB3DFE">
        <w:rPr>
          <w:rStyle w:val="Fett"/>
          <w:rFonts w:ascii="Arial" w:hAnsi="Arial" w:cs="Arial"/>
          <w:color w:val="000000"/>
          <w:sz w:val="22"/>
          <w:szCs w:val="22"/>
        </w:rPr>
        <w:t xml:space="preserve"> / </w:t>
      </w:r>
      <w:proofErr w:type="spellStart"/>
      <w:r w:rsidR="00963C44" w:rsidRPr="00AB3DFE">
        <w:rPr>
          <w:rStyle w:val="Fett"/>
          <w:rFonts w:ascii="Arial" w:hAnsi="Arial" w:cs="Arial"/>
          <w:color w:val="000000"/>
          <w:sz w:val="22"/>
          <w:szCs w:val="22"/>
        </w:rPr>
        <w:t>PoE</w:t>
      </w:r>
      <w:proofErr w:type="spellEnd"/>
      <w:r w:rsidR="00963C44" w:rsidRPr="00AB3DFE">
        <w:rPr>
          <w:rStyle w:val="Fett"/>
          <w:rFonts w:ascii="Arial" w:hAnsi="Arial" w:cs="Arial"/>
          <w:color w:val="000000"/>
          <w:sz w:val="22"/>
          <w:szCs w:val="22"/>
        </w:rPr>
        <w:t>+</w:t>
      </w:r>
      <w:r w:rsidR="00963C44">
        <w:rPr>
          <w:rStyle w:val="Fett"/>
          <w:rFonts w:ascii="Arial" w:hAnsi="Arial" w:cs="Arial"/>
          <w:color w:val="000000"/>
          <w:sz w:val="22"/>
          <w:szCs w:val="22"/>
        </w:rPr>
        <w:t xml:space="preserve"> zum Best-Preis</w:t>
      </w: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proofErr w:type="spellStart"/>
      <w:r w:rsidRPr="001A5236">
        <w:rPr>
          <w:rFonts w:ascii="Arial" w:hAnsi="Arial" w:cs="Arial"/>
        </w:rPr>
        <w:t>Btte</w:t>
      </w:r>
      <w:proofErr w:type="spellEnd"/>
      <w:r w:rsidRPr="001A5236">
        <w:rPr>
          <w:rFonts w:ascii="Arial" w:hAnsi="Arial" w:cs="Arial"/>
        </w:rPr>
        <w:t xml:space="preserve">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0849F1" w:rsidRPr="004F30C9" w:rsidRDefault="0089091F" w:rsidP="000849F1">
      <w:pPr>
        <w:spacing w:line="360" w:lineRule="auto"/>
        <w:rPr>
          <w:rFonts w:ascii="Arial" w:hAnsi="Arial" w:cs="Arial"/>
          <w:sz w:val="22"/>
          <w:szCs w:val="22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4F30C9" w:rsidRPr="00AB3DFE" w:rsidRDefault="004F30C9" w:rsidP="00AB3DFE">
      <w:pPr>
        <w:spacing w:line="360" w:lineRule="auto"/>
        <w:rPr>
          <w:rFonts w:ascii="Arial" w:hAnsi="Arial" w:cs="Arial"/>
          <w:sz w:val="22"/>
          <w:szCs w:val="22"/>
        </w:rPr>
      </w:pPr>
    </w:p>
    <w:p w:rsidR="00AB3DFE" w:rsidRDefault="00AB3DFE" w:rsidP="00AB3DFE">
      <w:pPr>
        <w:pStyle w:val="StandardWeb"/>
        <w:spacing w:before="0" w:beforeAutospacing="0" w:after="0" w:afterAutospacing="0" w:line="360" w:lineRule="auto"/>
        <w:rPr>
          <w:rStyle w:val="Fett"/>
          <w:rFonts w:ascii="Arial" w:hAnsi="Arial" w:cs="Arial"/>
          <w:color w:val="000000"/>
          <w:sz w:val="22"/>
          <w:szCs w:val="22"/>
        </w:rPr>
      </w:pPr>
      <w:r w:rsidRPr="00AB3DFE">
        <w:rPr>
          <w:rStyle w:val="Fett"/>
          <w:rFonts w:ascii="Arial" w:hAnsi="Arial" w:cs="Arial"/>
          <w:color w:val="000000"/>
          <w:sz w:val="22"/>
          <w:szCs w:val="22"/>
        </w:rPr>
        <w:t xml:space="preserve">Industrial Ethernet Switch mit </w:t>
      </w:r>
      <w:proofErr w:type="spellStart"/>
      <w:r w:rsidRPr="00AB3DFE">
        <w:rPr>
          <w:rStyle w:val="Fett"/>
          <w:rFonts w:ascii="Arial" w:hAnsi="Arial" w:cs="Arial"/>
          <w:color w:val="000000"/>
          <w:sz w:val="22"/>
          <w:szCs w:val="22"/>
        </w:rPr>
        <w:t>PoE</w:t>
      </w:r>
      <w:proofErr w:type="spellEnd"/>
      <w:r w:rsidRPr="00AB3DFE">
        <w:rPr>
          <w:rStyle w:val="Fett"/>
          <w:rFonts w:ascii="Arial" w:hAnsi="Arial" w:cs="Arial"/>
          <w:color w:val="000000"/>
          <w:sz w:val="22"/>
          <w:szCs w:val="22"/>
        </w:rPr>
        <w:t xml:space="preserve"> / </w:t>
      </w:r>
      <w:proofErr w:type="spellStart"/>
      <w:r w:rsidRPr="00AB3DFE">
        <w:rPr>
          <w:rStyle w:val="Fett"/>
          <w:rFonts w:ascii="Arial" w:hAnsi="Arial" w:cs="Arial"/>
          <w:color w:val="000000"/>
          <w:sz w:val="22"/>
          <w:szCs w:val="22"/>
        </w:rPr>
        <w:t>PoE+</w:t>
      </w:r>
      <w:proofErr w:type="spellEnd"/>
    </w:p>
    <w:p w:rsidR="00AB3DFE" w:rsidRDefault="00AB3DFE" w:rsidP="00AB3DFE">
      <w:pPr>
        <w:pStyle w:val="StandardWeb"/>
        <w:spacing w:before="0" w:beforeAutospacing="0" w:after="0" w:afterAutospacing="0" w:line="360" w:lineRule="auto"/>
        <w:rPr>
          <w:rStyle w:val="Fett"/>
          <w:rFonts w:ascii="Arial" w:hAnsi="Arial" w:cs="Arial"/>
          <w:color w:val="000000"/>
          <w:sz w:val="22"/>
          <w:szCs w:val="22"/>
        </w:rPr>
      </w:pPr>
      <w:r>
        <w:rPr>
          <w:rStyle w:val="Fett"/>
          <w:rFonts w:ascii="Arial" w:hAnsi="Arial" w:cs="Arial"/>
          <w:color w:val="000000"/>
          <w:sz w:val="22"/>
          <w:szCs w:val="22"/>
        </w:rPr>
        <w:t>R</w:t>
      </w:r>
      <w:r w:rsidRPr="00AB3DFE">
        <w:rPr>
          <w:rStyle w:val="Fett"/>
          <w:rFonts w:ascii="Arial" w:hAnsi="Arial" w:cs="Arial"/>
          <w:color w:val="000000"/>
          <w:sz w:val="22"/>
          <w:szCs w:val="22"/>
        </w:rPr>
        <w:t>eduziert</w:t>
      </w:r>
      <w:r>
        <w:rPr>
          <w:rStyle w:val="Fett"/>
          <w:rFonts w:ascii="Arial" w:hAnsi="Arial" w:cs="Arial"/>
          <w:color w:val="000000"/>
          <w:sz w:val="22"/>
          <w:szCs w:val="22"/>
        </w:rPr>
        <w:t>er</w:t>
      </w:r>
      <w:r w:rsidRPr="00AB3DFE">
        <w:rPr>
          <w:rStyle w:val="Fett"/>
          <w:rFonts w:ascii="Arial" w:hAnsi="Arial" w:cs="Arial"/>
          <w:color w:val="000000"/>
          <w:sz w:val="22"/>
          <w:szCs w:val="22"/>
        </w:rPr>
        <w:t xml:space="preserve"> Verdrahtungs-/Installationsaufwand</w:t>
      </w:r>
      <w:r w:rsidR="000F620A">
        <w:rPr>
          <w:rStyle w:val="Fett"/>
          <w:rFonts w:ascii="Arial" w:hAnsi="Arial" w:cs="Arial"/>
          <w:color w:val="000000"/>
          <w:sz w:val="22"/>
          <w:szCs w:val="22"/>
        </w:rPr>
        <w:t xml:space="preserve"> dank </w:t>
      </w:r>
      <w:proofErr w:type="spellStart"/>
      <w:r w:rsidR="000F620A">
        <w:rPr>
          <w:rStyle w:val="Fett"/>
          <w:rFonts w:ascii="Arial" w:hAnsi="Arial" w:cs="Arial"/>
          <w:color w:val="000000"/>
          <w:sz w:val="22"/>
          <w:szCs w:val="22"/>
        </w:rPr>
        <w:t>PoE</w:t>
      </w:r>
      <w:proofErr w:type="spellEnd"/>
    </w:p>
    <w:p w:rsidR="00C05C6A" w:rsidRDefault="00C05C6A" w:rsidP="00AB3DFE">
      <w:pPr>
        <w:pStyle w:val="StandardWeb"/>
        <w:spacing w:before="0" w:beforeAutospacing="0" w:after="0" w:afterAutospacing="0" w:line="360" w:lineRule="auto"/>
        <w:rPr>
          <w:rStyle w:val="Fett"/>
          <w:rFonts w:ascii="Arial" w:hAnsi="Arial" w:cs="Arial"/>
          <w:color w:val="000000"/>
          <w:sz w:val="22"/>
          <w:szCs w:val="22"/>
        </w:rPr>
      </w:pPr>
      <w:r>
        <w:rPr>
          <w:rStyle w:val="Fett"/>
          <w:rFonts w:ascii="Arial" w:hAnsi="Arial" w:cs="Arial"/>
          <w:color w:val="000000"/>
          <w:sz w:val="22"/>
          <w:szCs w:val="22"/>
        </w:rPr>
        <w:t>POE-Switches zum besten Preis</w:t>
      </w:r>
    </w:p>
    <w:p w:rsidR="00AB3DFE" w:rsidRPr="00AB3DFE" w:rsidRDefault="00AB3DFE" w:rsidP="00AB3DFE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05C6A" w:rsidRDefault="00C05C6A" w:rsidP="00AB3DFE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Neben dem deutlich geringeren Verdrahtungs- und Installationsaufwand</w:t>
      </w:r>
      <w:r w:rsidR="000F620A">
        <w:rPr>
          <w:rFonts w:ascii="Arial" w:hAnsi="Arial" w:cs="Arial"/>
          <w:color w:val="000000"/>
          <w:sz w:val="22"/>
          <w:szCs w:val="22"/>
        </w:rPr>
        <w:t xml:space="preserve"> für </w:t>
      </w:r>
      <w:proofErr w:type="spellStart"/>
      <w:r w:rsidR="000F620A">
        <w:rPr>
          <w:rFonts w:ascii="Arial" w:hAnsi="Arial" w:cs="Arial"/>
          <w:color w:val="000000"/>
          <w:sz w:val="22"/>
          <w:szCs w:val="22"/>
        </w:rPr>
        <w:t>Po</w:t>
      </w:r>
      <w:r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-Geräte ist auch eine weitaus </w:t>
      </w:r>
      <w:r w:rsidR="00AB3DFE" w:rsidRPr="00AB3DFE">
        <w:rPr>
          <w:rFonts w:ascii="Arial" w:hAnsi="Arial" w:cs="Arial"/>
          <w:color w:val="000000"/>
          <w:sz w:val="22"/>
          <w:szCs w:val="22"/>
        </w:rPr>
        <w:t>größere Flexibilität bei der Positionierung gegeben.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B3DFE" w:rsidRPr="00AB3DFE">
        <w:rPr>
          <w:rFonts w:ascii="Arial" w:hAnsi="Arial" w:cs="Arial"/>
          <w:color w:val="000000"/>
          <w:sz w:val="22"/>
          <w:szCs w:val="22"/>
        </w:rPr>
        <w:t xml:space="preserve">Das </w:t>
      </w:r>
      <w:r>
        <w:rPr>
          <w:rFonts w:ascii="Arial" w:hAnsi="Arial" w:cs="Arial"/>
          <w:color w:val="000000"/>
          <w:sz w:val="22"/>
          <w:szCs w:val="22"/>
        </w:rPr>
        <w:t>sind oft</w:t>
      </w:r>
      <w:r w:rsidR="00AB3DFE" w:rsidRPr="00AB3DFE">
        <w:rPr>
          <w:rFonts w:ascii="Arial" w:hAnsi="Arial" w:cs="Arial"/>
          <w:color w:val="000000"/>
          <w:sz w:val="22"/>
          <w:szCs w:val="22"/>
        </w:rPr>
        <w:t xml:space="preserve"> entscheidende Argumente für den Einsatz von </w:t>
      </w:r>
      <w:proofErr w:type="spellStart"/>
      <w:r w:rsidR="00AB3DFE" w:rsidRPr="00AB3DFE">
        <w:rPr>
          <w:rFonts w:ascii="Arial" w:hAnsi="Arial" w:cs="Arial"/>
          <w:color w:val="000000"/>
          <w:sz w:val="22"/>
          <w:szCs w:val="22"/>
        </w:rPr>
        <w:t>PoE</w:t>
      </w:r>
      <w:proofErr w:type="spellEnd"/>
      <w:r w:rsidR="00AB3DFE" w:rsidRPr="00AB3DFE">
        <w:rPr>
          <w:rFonts w:ascii="Arial" w:hAnsi="Arial" w:cs="Arial"/>
          <w:color w:val="000000"/>
          <w:sz w:val="22"/>
          <w:szCs w:val="22"/>
        </w:rPr>
        <w:t xml:space="preserve">-Geräten in </w:t>
      </w:r>
      <w:r>
        <w:rPr>
          <w:rFonts w:ascii="Arial" w:hAnsi="Arial" w:cs="Arial"/>
          <w:color w:val="000000"/>
          <w:sz w:val="22"/>
          <w:szCs w:val="22"/>
        </w:rPr>
        <w:t xml:space="preserve">industriellen </w:t>
      </w:r>
      <w:r w:rsidR="00AB3DFE" w:rsidRPr="00AB3DFE">
        <w:rPr>
          <w:rFonts w:ascii="Arial" w:hAnsi="Arial" w:cs="Arial"/>
          <w:color w:val="000000"/>
          <w:sz w:val="22"/>
          <w:szCs w:val="22"/>
        </w:rPr>
        <w:t>Infrastruktur</w:t>
      </w:r>
      <w:r>
        <w:rPr>
          <w:rFonts w:ascii="Arial" w:hAnsi="Arial" w:cs="Arial"/>
          <w:color w:val="000000"/>
          <w:sz w:val="22"/>
          <w:szCs w:val="22"/>
        </w:rPr>
        <w:t>en</w:t>
      </w:r>
      <w:r w:rsidR="00AB3DFE" w:rsidRPr="00AB3DFE">
        <w:rPr>
          <w:rFonts w:ascii="Arial" w:hAnsi="Arial" w:cs="Arial"/>
          <w:color w:val="000000"/>
          <w:sz w:val="22"/>
          <w:szCs w:val="22"/>
        </w:rPr>
        <w:t>.</w:t>
      </w:r>
    </w:p>
    <w:p w:rsidR="00AB3DFE" w:rsidRDefault="00AB3DFE" w:rsidP="00AB3DFE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AB3DFE">
        <w:rPr>
          <w:rFonts w:ascii="Arial" w:hAnsi="Arial" w:cs="Arial"/>
          <w:color w:val="000000"/>
          <w:sz w:val="22"/>
          <w:szCs w:val="22"/>
        </w:rPr>
        <w:t xml:space="preserve">Der Switch ETHSW50P </w:t>
      </w:r>
      <w:r>
        <w:rPr>
          <w:rFonts w:ascii="Arial" w:hAnsi="Arial" w:cs="Arial"/>
          <w:color w:val="000000"/>
          <w:sz w:val="22"/>
          <w:szCs w:val="22"/>
        </w:rPr>
        <w:t xml:space="preserve">von Wachendorff Prozesstechnik </w:t>
      </w:r>
      <w:r w:rsidR="00C05C6A">
        <w:rPr>
          <w:rFonts w:ascii="Arial" w:hAnsi="Arial" w:cs="Arial"/>
          <w:color w:val="000000"/>
          <w:sz w:val="22"/>
          <w:szCs w:val="22"/>
        </w:rPr>
        <w:t xml:space="preserve">ist mit </w:t>
      </w:r>
      <w:r w:rsidRPr="00AB3DFE">
        <w:rPr>
          <w:rFonts w:ascii="Arial" w:hAnsi="Arial" w:cs="Arial"/>
          <w:color w:val="000000"/>
          <w:sz w:val="22"/>
          <w:szCs w:val="22"/>
        </w:rPr>
        <w:t>5 Ports</w:t>
      </w:r>
      <w:r w:rsidR="00C05C6A">
        <w:rPr>
          <w:rFonts w:ascii="Arial" w:hAnsi="Arial" w:cs="Arial"/>
          <w:color w:val="000000"/>
          <w:sz w:val="22"/>
          <w:szCs w:val="22"/>
        </w:rPr>
        <w:t xml:space="preserve"> ausgestattet;</w:t>
      </w:r>
      <w:r w:rsidRPr="00AB3DFE">
        <w:rPr>
          <w:rFonts w:ascii="Arial" w:hAnsi="Arial" w:cs="Arial"/>
          <w:color w:val="000000"/>
          <w:sz w:val="22"/>
          <w:szCs w:val="22"/>
        </w:rPr>
        <w:t xml:space="preserve"> 4 davon mit </w:t>
      </w:r>
      <w:proofErr w:type="spellStart"/>
      <w:r w:rsidRPr="00AB3DFE">
        <w:rPr>
          <w:rFonts w:ascii="Arial" w:hAnsi="Arial" w:cs="Arial"/>
          <w:color w:val="000000"/>
          <w:sz w:val="22"/>
          <w:szCs w:val="22"/>
        </w:rPr>
        <w:t>PoE</w:t>
      </w:r>
      <w:proofErr w:type="spellEnd"/>
      <w:r w:rsidRPr="00AB3DFE">
        <w:rPr>
          <w:rFonts w:ascii="Arial" w:hAnsi="Arial" w:cs="Arial"/>
          <w:color w:val="000000"/>
          <w:sz w:val="22"/>
          <w:szCs w:val="22"/>
        </w:rPr>
        <w:t xml:space="preserve"> / </w:t>
      </w:r>
      <w:proofErr w:type="spellStart"/>
      <w:r w:rsidRPr="00AB3DFE">
        <w:rPr>
          <w:rFonts w:ascii="Arial" w:hAnsi="Arial" w:cs="Arial"/>
          <w:color w:val="000000"/>
          <w:sz w:val="22"/>
          <w:szCs w:val="22"/>
        </w:rPr>
        <w:t>PoE</w:t>
      </w:r>
      <w:proofErr w:type="spellEnd"/>
      <w:r w:rsidRPr="00AB3DFE">
        <w:rPr>
          <w:rFonts w:ascii="Arial" w:hAnsi="Arial" w:cs="Arial"/>
          <w:color w:val="000000"/>
          <w:sz w:val="22"/>
          <w:szCs w:val="22"/>
        </w:rPr>
        <w:t xml:space="preserve">+, 1 Port als </w:t>
      </w:r>
      <w:proofErr w:type="spellStart"/>
      <w:r w:rsidRPr="00AB3DFE">
        <w:rPr>
          <w:rFonts w:ascii="Arial" w:hAnsi="Arial" w:cs="Arial"/>
          <w:color w:val="000000"/>
          <w:sz w:val="22"/>
          <w:szCs w:val="22"/>
        </w:rPr>
        <w:t>Uplink</w:t>
      </w:r>
      <w:proofErr w:type="spellEnd"/>
      <w:r w:rsidRPr="00AB3DF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B3DFE" w:rsidRDefault="00C05C6A" w:rsidP="00AB3DFE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PoE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nach IEEE 802.3af liefert ei</w:t>
      </w:r>
      <w:r w:rsidR="00AB3DFE" w:rsidRPr="00AB3DFE">
        <w:rPr>
          <w:rFonts w:ascii="Arial" w:hAnsi="Arial" w:cs="Arial"/>
          <w:color w:val="000000"/>
          <w:sz w:val="22"/>
          <w:szCs w:val="22"/>
        </w:rPr>
        <w:t xml:space="preserve">ne Leistung von 12,95 W am Endverbraucher, das erweiterte </w:t>
      </w:r>
      <w:proofErr w:type="spellStart"/>
      <w:r w:rsidR="00AB3DFE" w:rsidRPr="00AB3DFE">
        <w:rPr>
          <w:rFonts w:ascii="Arial" w:hAnsi="Arial" w:cs="Arial"/>
          <w:color w:val="000000"/>
          <w:sz w:val="22"/>
          <w:szCs w:val="22"/>
        </w:rPr>
        <w:t>PoE</w:t>
      </w:r>
      <w:proofErr w:type="spellEnd"/>
      <w:r w:rsidR="00AB3DFE" w:rsidRPr="00AB3DFE">
        <w:rPr>
          <w:rFonts w:ascii="Arial" w:hAnsi="Arial" w:cs="Arial"/>
          <w:color w:val="000000"/>
          <w:sz w:val="22"/>
          <w:szCs w:val="22"/>
        </w:rPr>
        <w:t>+ nach IEEE 802.3at sogar 21,9 W. Unterstützt werden IEEE 802.3, IEEE802.3u, IEEE 802.3ab</w:t>
      </w:r>
      <w:r w:rsidR="00AB3DFE">
        <w:rPr>
          <w:rFonts w:ascii="Arial" w:hAnsi="Arial" w:cs="Arial"/>
          <w:color w:val="000000"/>
          <w:sz w:val="22"/>
          <w:szCs w:val="22"/>
        </w:rPr>
        <w:t>,</w:t>
      </w:r>
      <w:r w:rsidR="00AB3DFE" w:rsidRPr="00AB3DFE">
        <w:rPr>
          <w:rFonts w:ascii="Arial" w:hAnsi="Arial" w:cs="Arial"/>
          <w:color w:val="000000"/>
          <w:sz w:val="22"/>
          <w:szCs w:val="22"/>
        </w:rPr>
        <w:t xml:space="preserve"> IEEE802.3x </w:t>
      </w:r>
      <w:r w:rsidR="00AB3DFE">
        <w:rPr>
          <w:rFonts w:ascii="Arial" w:hAnsi="Arial" w:cs="Arial"/>
          <w:color w:val="000000"/>
          <w:sz w:val="22"/>
          <w:szCs w:val="22"/>
        </w:rPr>
        <w:t xml:space="preserve">und </w:t>
      </w:r>
      <w:proofErr w:type="spellStart"/>
      <w:r w:rsidR="00AB3DFE" w:rsidRPr="00AB3DFE">
        <w:rPr>
          <w:rFonts w:ascii="Arial" w:hAnsi="Arial" w:cs="Arial"/>
          <w:color w:val="000000"/>
          <w:sz w:val="22"/>
          <w:szCs w:val="22"/>
        </w:rPr>
        <w:t>CoS</w:t>
      </w:r>
      <w:proofErr w:type="spellEnd"/>
      <w:r w:rsidR="00AB3DFE" w:rsidRPr="00AB3DFE">
        <w:rPr>
          <w:rFonts w:ascii="Arial" w:hAnsi="Arial" w:cs="Arial"/>
          <w:color w:val="000000"/>
          <w:sz w:val="22"/>
          <w:szCs w:val="22"/>
        </w:rPr>
        <w:t xml:space="preserve"> nach IEEE 802.1p. Hierfür stehen 4 Queues (Prioritäts-Klassen) pro Port zur Verfügung. </w:t>
      </w:r>
      <w:r w:rsidR="00AB3DFE">
        <w:rPr>
          <w:rFonts w:ascii="Arial" w:hAnsi="Arial" w:cs="Arial"/>
          <w:color w:val="000000"/>
          <w:sz w:val="22"/>
          <w:szCs w:val="22"/>
        </w:rPr>
        <w:t>Der vom Anwender priorisierte</w:t>
      </w:r>
      <w:r w:rsidR="00AB3DFE" w:rsidRPr="00AB3DFE">
        <w:rPr>
          <w:rFonts w:ascii="Arial" w:hAnsi="Arial" w:cs="Arial"/>
          <w:color w:val="000000"/>
          <w:sz w:val="22"/>
          <w:szCs w:val="22"/>
        </w:rPr>
        <w:t xml:space="preserve"> Datenverkehr erhält entsprechend den Vorrang.</w:t>
      </w:r>
    </w:p>
    <w:p w:rsidR="00AB3DFE" w:rsidRPr="00AB3DFE" w:rsidRDefault="00AB3DFE" w:rsidP="00AB3DFE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Aufgrund des hervorragenden Preis-/Leistungsverhältnisses lohnt sich </w:t>
      </w:r>
      <w:r w:rsidR="00C05C6A">
        <w:rPr>
          <w:rFonts w:ascii="Arial" w:hAnsi="Arial" w:cs="Arial"/>
          <w:color w:val="000000"/>
          <w:sz w:val="22"/>
          <w:szCs w:val="22"/>
        </w:rPr>
        <w:t>die Anfrage von Jahres-</w:t>
      </w:r>
      <w:r w:rsidRPr="00AB3DFE">
        <w:rPr>
          <w:rFonts w:ascii="Arial" w:hAnsi="Arial" w:cs="Arial"/>
          <w:color w:val="000000"/>
          <w:sz w:val="22"/>
          <w:szCs w:val="22"/>
        </w:rPr>
        <w:t xml:space="preserve"> oder Projektbedarf</w:t>
      </w:r>
      <w:r w:rsidR="00C05C6A">
        <w:rPr>
          <w:rFonts w:ascii="Arial" w:hAnsi="Arial" w:cs="Arial"/>
          <w:color w:val="000000"/>
          <w:sz w:val="22"/>
          <w:szCs w:val="22"/>
        </w:rPr>
        <w:t xml:space="preserve">en – da </w:t>
      </w:r>
      <w:r w:rsidR="005735D0">
        <w:rPr>
          <w:rFonts w:ascii="Arial" w:hAnsi="Arial" w:cs="Arial"/>
          <w:color w:val="000000"/>
          <w:sz w:val="22"/>
          <w:szCs w:val="22"/>
        </w:rPr>
        <w:t>freuen</w:t>
      </w:r>
      <w:r w:rsidR="00C05C6A">
        <w:rPr>
          <w:rFonts w:ascii="Arial" w:hAnsi="Arial" w:cs="Arial"/>
          <w:color w:val="000000"/>
          <w:sz w:val="22"/>
          <w:szCs w:val="22"/>
        </w:rPr>
        <w:t xml:space="preserve"> sich Technik und Einkauf.</w:t>
      </w:r>
    </w:p>
    <w:p w:rsidR="00E111F5" w:rsidRDefault="00E111F5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E111F5" w:rsidRDefault="00E111F5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Mehr Informationen: </w:t>
      </w:r>
      <w:hyperlink r:id="rId7" w:history="1">
        <w:r w:rsidR="00AB3DFE" w:rsidRPr="00AB3DFE">
          <w:rPr>
            <w:rFonts w:ascii="Arial" w:hAnsi="Arial" w:cs="Arial"/>
            <w:color w:val="0000FF"/>
            <w:sz w:val="22"/>
            <w:szCs w:val="22"/>
            <w:u w:val="single"/>
          </w:rPr>
          <w:t>https://www.wachendorff-prozesstechnik.de/ETHSW50P/</w:t>
        </w:r>
      </w:hyperlink>
    </w:p>
    <w:p w:rsidR="00AB3DFE" w:rsidRDefault="00AB3DFE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AB3DFE" w:rsidRDefault="00E111F5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Bilder (Wachendorff Prozesstechnik):</w:t>
      </w:r>
    </w:p>
    <w:p w:rsidR="00C05C6A" w:rsidRDefault="00C05C6A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EE26D5" wp14:editId="4A5478EB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847725" cy="1384003"/>
            <wp:effectExtent l="0" t="0" r="0" b="698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P1907_Wachendorff_Switch_PO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50" cy="138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C6A" w:rsidRDefault="00C05C6A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C05C6A" w:rsidRDefault="00C05C6A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C05C6A" w:rsidRDefault="00C05C6A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C05C6A" w:rsidRDefault="00C05C6A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C05C6A" w:rsidRDefault="00C05C6A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AB3DFE" w:rsidRDefault="000F620A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WP1907_Wachendorff_Switch_Po</w:t>
      </w:r>
      <w:bookmarkStart w:id="0" w:name="_GoBack"/>
      <w:bookmarkEnd w:id="0"/>
      <w:r w:rsidR="00AB3DFE" w:rsidRPr="00AB3DFE">
        <w:rPr>
          <w:rFonts w:ascii="Arial" w:hAnsi="Arial" w:cs="Arial"/>
          <w:color w:val="000000"/>
          <w:sz w:val="22"/>
          <w:szCs w:val="22"/>
        </w:rPr>
        <w:t>E</w:t>
      </w:r>
      <w:r w:rsidR="00AB3DFE">
        <w:rPr>
          <w:rFonts w:ascii="Arial" w:hAnsi="Arial" w:cs="Arial"/>
          <w:color w:val="000000"/>
          <w:sz w:val="22"/>
          <w:szCs w:val="22"/>
        </w:rPr>
        <w:t>.jpg</w:t>
      </w:r>
    </w:p>
    <w:sectPr w:rsidR="00AB3DFE" w:rsidSect="00B352CE">
      <w:headerReference w:type="default" r:id="rId9"/>
      <w:headerReference w:type="first" r:id="rId10"/>
      <w:footerReference w:type="first" r:id="rId11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Default="00C42F72">
    <w:pPr>
      <w:pStyle w:val="Fuzeile"/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5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65 - 78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lang w:val="fr-FR"/>
      </w:rPr>
    </w:pPr>
  </w:p>
  <w:p w:rsidR="002D375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</w:t>
    </w:r>
    <w:r w:rsidR="00B122DD">
      <w:rPr>
        <w:rFonts w:ascii="Arial" w:hAnsi="Arial" w:cs="Arial"/>
        <w:lang w:val="fr-FR"/>
      </w:rPr>
      <w:t>-prozesstechnik</w:t>
    </w:r>
    <w:r>
      <w:rPr>
        <w:rFonts w:ascii="Arial" w:hAnsi="Arial" w:cs="Arial"/>
        <w:lang w:val="fr-FR"/>
      </w:rPr>
      <w:t>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4D7"/>
    <w:multiLevelType w:val="hybridMultilevel"/>
    <w:tmpl w:val="F39AE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987"/>
    <w:rsid w:val="00046EA1"/>
    <w:rsid w:val="00053DF4"/>
    <w:rsid w:val="00073D5F"/>
    <w:rsid w:val="000821F5"/>
    <w:rsid w:val="000849F1"/>
    <w:rsid w:val="00087CF6"/>
    <w:rsid w:val="00092943"/>
    <w:rsid w:val="000965F4"/>
    <w:rsid w:val="000A7E7C"/>
    <w:rsid w:val="000D4838"/>
    <w:rsid w:val="000D5072"/>
    <w:rsid w:val="000F620A"/>
    <w:rsid w:val="00102AE2"/>
    <w:rsid w:val="00111CD6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236"/>
    <w:rsid w:val="001A7735"/>
    <w:rsid w:val="001C11EE"/>
    <w:rsid w:val="001D2DC9"/>
    <w:rsid w:val="001E3432"/>
    <w:rsid w:val="001E6197"/>
    <w:rsid w:val="00201B08"/>
    <w:rsid w:val="00222A81"/>
    <w:rsid w:val="00242856"/>
    <w:rsid w:val="002531BC"/>
    <w:rsid w:val="002551D6"/>
    <w:rsid w:val="002676CE"/>
    <w:rsid w:val="00281313"/>
    <w:rsid w:val="002908C3"/>
    <w:rsid w:val="002D3754"/>
    <w:rsid w:val="002F5999"/>
    <w:rsid w:val="002F5CA4"/>
    <w:rsid w:val="002F7FB6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6371F"/>
    <w:rsid w:val="00366A13"/>
    <w:rsid w:val="00385F0B"/>
    <w:rsid w:val="00394CEC"/>
    <w:rsid w:val="003C2732"/>
    <w:rsid w:val="003E09BA"/>
    <w:rsid w:val="004029E9"/>
    <w:rsid w:val="0043771A"/>
    <w:rsid w:val="00441D2E"/>
    <w:rsid w:val="00444522"/>
    <w:rsid w:val="00447070"/>
    <w:rsid w:val="00484687"/>
    <w:rsid w:val="00490648"/>
    <w:rsid w:val="004914D2"/>
    <w:rsid w:val="004A5927"/>
    <w:rsid w:val="004F30C9"/>
    <w:rsid w:val="005067C7"/>
    <w:rsid w:val="00543B46"/>
    <w:rsid w:val="005546C9"/>
    <w:rsid w:val="00554E98"/>
    <w:rsid w:val="00572DBD"/>
    <w:rsid w:val="005735D0"/>
    <w:rsid w:val="005760FC"/>
    <w:rsid w:val="00581AAB"/>
    <w:rsid w:val="00585421"/>
    <w:rsid w:val="005A252B"/>
    <w:rsid w:val="005B6F1A"/>
    <w:rsid w:val="005C3A1B"/>
    <w:rsid w:val="00615245"/>
    <w:rsid w:val="0065158F"/>
    <w:rsid w:val="006672A8"/>
    <w:rsid w:val="006A0A6E"/>
    <w:rsid w:val="006A470E"/>
    <w:rsid w:val="006A6C26"/>
    <w:rsid w:val="006C36FB"/>
    <w:rsid w:val="007014D0"/>
    <w:rsid w:val="00715A33"/>
    <w:rsid w:val="007315C1"/>
    <w:rsid w:val="00736B3C"/>
    <w:rsid w:val="00743E1F"/>
    <w:rsid w:val="00745147"/>
    <w:rsid w:val="00797F1F"/>
    <w:rsid w:val="007A5DAF"/>
    <w:rsid w:val="007C1B1A"/>
    <w:rsid w:val="007C4941"/>
    <w:rsid w:val="00803743"/>
    <w:rsid w:val="008100AA"/>
    <w:rsid w:val="00817AFA"/>
    <w:rsid w:val="00833E65"/>
    <w:rsid w:val="00844FF9"/>
    <w:rsid w:val="00865A7E"/>
    <w:rsid w:val="008828CE"/>
    <w:rsid w:val="0089091F"/>
    <w:rsid w:val="00892B82"/>
    <w:rsid w:val="008A3ABE"/>
    <w:rsid w:val="008B37E6"/>
    <w:rsid w:val="008F5CD7"/>
    <w:rsid w:val="00900094"/>
    <w:rsid w:val="00901161"/>
    <w:rsid w:val="00920F4F"/>
    <w:rsid w:val="00933F8C"/>
    <w:rsid w:val="009624E7"/>
    <w:rsid w:val="00963C44"/>
    <w:rsid w:val="00967A52"/>
    <w:rsid w:val="009730AE"/>
    <w:rsid w:val="00987433"/>
    <w:rsid w:val="009B24CA"/>
    <w:rsid w:val="009C4B62"/>
    <w:rsid w:val="009D27D7"/>
    <w:rsid w:val="009E03B5"/>
    <w:rsid w:val="009E3AE7"/>
    <w:rsid w:val="009F6B99"/>
    <w:rsid w:val="00A13656"/>
    <w:rsid w:val="00A170E7"/>
    <w:rsid w:val="00A21BFC"/>
    <w:rsid w:val="00A549E9"/>
    <w:rsid w:val="00A90824"/>
    <w:rsid w:val="00A91B96"/>
    <w:rsid w:val="00A95E03"/>
    <w:rsid w:val="00AA4901"/>
    <w:rsid w:val="00AB3DFE"/>
    <w:rsid w:val="00AB40CC"/>
    <w:rsid w:val="00AB6A71"/>
    <w:rsid w:val="00AC4E62"/>
    <w:rsid w:val="00AC7380"/>
    <w:rsid w:val="00B122DD"/>
    <w:rsid w:val="00B35041"/>
    <w:rsid w:val="00B352CE"/>
    <w:rsid w:val="00B3624A"/>
    <w:rsid w:val="00B365D7"/>
    <w:rsid w:val="00B4343D"/>
    <w:rsid w:val="00B577E3"/>
    <w:rsid w:val="00B70294"/>
    <w:rsid w:val="00BB523A"/>
    <w:rsid w:val="00BC5960"/>
    <w:rsid w:val="00BC7C74"/>
    <w:rsid w:val="00BD65AA"/>
    <w:rsid w:val="00BE460E"/>
    <w:rsid w:val="00C00C09"/>
    <w:rsid w:val="00C01784"/>
    <w:rsid w:val="00C05A7E"/>
    <w:rsid w:val="00C05C6A"/>
    <w:rsid w:val="00C05D99"/>
    <w:rsid w:val="00C2138D"/>
    <w:rsid w:val="00C35776"/>
    <w:rsid w:val="00C4019A"/>
    <w:rsid w:val="00C42F72"/>
    <w:rsid w:val="00C642C9"/>
    <w:rsid w:val="00C65AE8"/>
    <w:rsid w:val="00C757B9"/>
    <w:rsid w:val="00C9520D"/>
    <w:rsid w:val="00C9587D"/>
    <w:rsid w:val="00CB54CD"/>
    <w:rsid w:val="00CD0448"/>
    <w:rsid w:val="00CE60F9"/>
    <w:rsid w:val="00CF1E1B"/>
    <w:rsid w:val="00D00AFA"/>
    <w:rsid w:val="00D0278A"/>
    <w:rsid w:val="00D2298C"/>
    <w:rsid w:val="00D459D8"/>
    <w:rsid w:val="00D5140D"/>
    <w:rsid w:val="00D5675F"/>
    <w:rsid w:val="00D82B5B"/>
    <w:rsid w:val="00DA1C18"/>
    <w:rsid w:val="00DA70CB"/>
    <w:rsid w:val="00DB56D9"/>
    <w:rsid w:val="00DC0C43"/>
    <w:rsid w:val="00DC3876"/>
    <w:rsid w:val="00DC7020"/>
    <w:rsid w:val="00DF04A8"/>
    <w:rsid w:val="00E111F5"/>
    <w:rsid w:val="00E401CE"/>
    <w:rsid w:val="00E44934"/>
    <w:rsid w:val="00E571DD"/>
    <w:rsid w:val="00E717FD"/>
    <w:rsid w:val="00E742ED"/>
    <w:rsid w:val="00E91191"/>
    <w:rsid w:val="00EA3BD8"/>
    <w:rsid w:val="00EA45EA"/>
    <w:rsid w:val="00EB5E8E"/>
    <w:rsid w:val="00ED1540"/>
    <w:rsid w:val="00ED48C8"/>
    <w:rsid w:val="00ED4E2A"/>
    <w:rsid w:val="00EE0F7F"/>
    <w:rsid w:val="00EE7CEA"/>
    <w:rsid w:val="00F6134C"/>
    <w:rsid w:val="00F72BE3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111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chendorff-prozesstechnik.de/ETHSW50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7</cp:revision>
  <cp:lastPrinted>2019-07-19T08:19:00Z</cp:lastPrinted>
  <dcterms:created xsi:type="dcterms:W3CDTF">2019-07-19T08:20:00Z</dcterms:created>
  <dcterms:modified xsi:type="dcterms:W3CDTF">2019-07-19T08:38:00Z</dcterms:modified>
</cp:coreProperties>
</file>