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bookmarkStart w:id="0" w:name="_GoBack"/>
      <w:bookmarkEnd w:id="0"/>
      <w:r w:rsidRPr="00F6134C">
        <w:rPr>
          <w:rFonts w:ascii="Arial" w:hAnsi="Arial"/>
          <w:sz w:val="22"/>
          <w:szCs w:val="22"/>
          <w:lang w:val="it-IT"/>
        </w:rPr>
        <w:t>Ihr Ansprechpartner</w:t>
      </w:r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 Rott, Leiter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9C4523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30.10</w:t>
      </w:r>
      <w:r w:rsidR="001A5050">
        <w:rPr>
          <w:rFonts w:ascii="Arial" w:hAnsi="Arial"/>
          <w:sz w:val="22"/>
          <w:szCs w:val="22"/>
        </w:rPr>
        <w:t>.20</w:t>
      </w:r>
      <w:r w:rsidR="00357F42">
        <w:rPr>
          <w:rFonts w:ascii="Arial" w:hAnsi="Arial"/>
          <w:sz w:val="22"/>
          <w:szCs w:val="22"/>
        </w:rPr>
        <w:t>20</w:t>
      </w:r>
    </w:p>
    <w:p w:rsidR="00A527FF" w:rsidRPr="00F813FC" w:rsidRDefault="00A527FF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875659" w:rsidRPr="00875659" w:rsidRDefault="00385F0B" w:rsidP="0087565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875659">
        <w:rPr>
          <w:rFonts w:ascii="Arial" w:hAnsi="Arial" w:cs="Arial"/>
          <w:b/>
          <w:bCs/>
          <w:sz w:val="22"/>
          <w:szCs w:val="22"/>
        </w:rPr>
        <w:t>P2007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317E8A" w:rsidRPr="00317E8A">
        <w:t xml:space="preserve"> </w:t>
      </w:r>
      <w:r w:rsidR="00875659">
        <w:rPr>
          <w:rFonts w:ascii="Arial" w:hAnsi="Arial" w:cs="Arial"/>
          <w:b/>
          <w:bCs/>
          <w:color w:val="000000"/>
          <w:sz w:val="22"/>
          <w:szCs w:val="22"/>
        </w:rPr>
        <w:t xml:space="preserve">Leistungsfähige </w:t>
      </w:r>
      <w:r w:rsidR="00875659" w:rsidRPr="00875659">
        <w:rPr>
          <w:rFonts w:ascii="Arial" w:hAnsi="Arial" w:cs="Arial"/>
          <w:b/>
          <w:bCs/>
          <w:color w:val="000000"/>
          <w:sz w:val="22"/>
          <w:szCs w:val="22"/>
        </w:rPr>
        <w:t>Smart HMI</w:t>
      </w:r>
      <w:r w:rsidR="00875659">
        <w:rPr>
          <w:rFonts w:ascii="Arial" w:hAnsi="Arial" w:cs="Arial"/>
          <w:b/>
          <w:bCs/>
          <w:color w:val="000000"/>
          <w:sz w:val="22"/>
          <w:szCs w:val="22"/>
        </w:rPr>
        <w:t xml:space="preserve"> für Industrie 4.0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111C1E" w:rsidRDefault="00111C1E" w:rsidP="0087565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5659" w:rsidRPr="00875659" w:rsidRDefault="00875659" w:rsidP="0087565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Leistungsfähige </w:t>
      </w:r>
      <w:r w:rsidRPr="00875659">
        <w:rPr>
          <w:rFonts w:ascii="Arial" w:hAnsi="Arial" w:cs="Arial"/>
          <w:b/>
          <w:bCs/>
          <w:color w:val="000000"/>
          <w:sz w:val="22"/>
          <w:szCs w:val="22"/>
        </w:rPr>
        <w:t>Smart HMI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für Industrie 4.0</w:t>
      </w:r>
    </w:p>
    <w:p w:rsidR="00875659" w:rsidRPr="00875659" w:rsidRDefault="00875659" w:rsidP="0087565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75659">
        <w:rPr>
          <w:rFonts w:ascii="Arial" w:hAnsi="Arial" w:cs="Arial"/>
          <w:b/>
          <w:bCs/>
          <w:color w:val="000000"/>
          <w:sz w:val="22"/>
          <w:szCs w:val="22"/>
        </w:rPr>
        <w:t>Mehr Power und neue Modelle</w:t>
      </w:r>
    </w:p>
    <w:p w:rsidR="00875659" w:rsidRPr="00875659" w:rsidRDefault="00875659" w:rsidP="008756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5659">
        <w:rPr>
          <w:rFonts w:ascii="Arial" w:hAnsi="Arial" w:cs="Arial"/>
          <w:b/>
          <w:sz w:val="22"/>
          <w:szCs w:val="22"/>
        </w:rPr>
        <w:t>All-in-One HMI cMT-X-Serie</w:t>
      </w:r>
    </w:p>
    <w:p w:rsidR="00875659" w:rsidRPr="00875659" w:rsidRDefault="00875659" w:rsidP="0087565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75659" w:rsidRPr="00875659" w:rsidRDefault="00875659" w:rsidP="0087565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5659">
        <w:rPr>
          <w:rFonts w:ascii="Arial" w:hAnsi="Arial" w:cs="Arial"/>
          <w:color w:val="000000"/>
          <w:sz w:val="22"/>
          <w:szCs w:val="22"/>
        </w:rPr>
        <w:t>Die neuen Geräte der cMT X-Serie, die All-in-One HMIs WBGcMT3092X und WBGcMT3152X, sind mit einer A17 Quad-Core-CPU ausgestattet. Sie damit echte Rennpferde: Viermal höhere Rechenleistung und dank hochleistungsfähigem, dediziertem 3D-Prozessor sogar eine 12-fach schnellere Grafikverarbeitung.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5659">
        <w:rPr>
          <w:rFonts w:ascii="Arial" w:hAnsi="Arial" w:cs="Arial"/>
          <w:color w:val="000000"/>
          <w:sz w:val="22"/>
          <w:szCs w:val="22"/>
        </w:rPr>
        <w:t>Die Modelle der cMT X-Serie verfügen zudem über umfassende Peripheriekonnektivität, darunter zwei Ethernet-Anschlüsse, RS232, RS485 2W/4W und CAN-Bus-Kommunikationsanschlüsse, USB-Host-Anschluss. Ein Mono-Lautsprecher ist integriert.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5659">
        <w:rPr>
          <w:rFonts w:ascii="Arial" w:hAnsi="Arial" w:cs="Arial"/>
          <w:color w:val="000000"/>
          <w:sz w:val="22"/>
          <w:szCs w:val="22"/>
        </w:rPr>
        <w:t>Die innovative cMT-Softwarearchitektur, die leistungsstarke und umfangreiche PLC-Konnektivität, die ausgeprägte IIoT-Integrationsfähigkeit, der EasyAccess 2.0-Remote Access und Pass-Through-Support machen die cMT-Serie in vielen Applikationen zur ersten Wahl.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5659">
        <w:rPr>
          <w:rFonts w:ascii="Arial" w:hAnsi="Arial" w:cs="Arial"/>
          <w:color w:val="000000"/>
          <w:sz w:val="22"/>
          <w:szCs w:val="22"/>
        </w:rPr>
        <w:t>Ein neues 15,6“ Widescreen-Modell, das WBGcMT3162X, rundet das Sortiment weiter ab. Es zeichnet sich durch ein Full HD-IPS-Display mit 1920 x 1080 Pixeln und ein haptisches Vibrations-Feedback aus. Dadurch sind Ereigniswarnungen deutlich leichter bemerkbar und die Bedienung ist noch intuitiver möglich.</w:t>
      </w:r>
    </w:p>
    <w:p w:rsidR="00875659" w:rsidRPr="00875659" w:rsidRDefault="00875659" w:rsidP="0087565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75659" w:rsidRDefault="00875659" w:rsidP="00875659">
      <w:pPr>
        <w:spacing w:line="360" w:lineRule="auto"/>
        <w:rPr>
          <w:rFonts w:ascii="Arial" w:hAnsi="Arial" w:cs="Arial"/>
          <w:sz w:val="22"/>
          <w:szCs w:val="22"/>
        </w:rPr>
      </w:pPr>
      <w:r w:rsidRPr="00875659">
        <w:rPr>
          <w:rFonts w:ascii="Arial" w:hAnsi="Arial" w:cs="Arial"/>
          <w:color w:val="000000"/>
          <w:sz w:val="22"/>
          <w:szCs w:val="22"/>
        </w:rPr>
        <w:t>Mehr Informationen: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875659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https://www.wachendorff-prozesstechnik.de/produktgruppen/bedienen-beobachten/produkte/smart-hmi-iiot/</w:t>
        </w:r>
      </w:hyperlink>
    </w:p>
    <w:p w:rsidR="00111C1E" w:rsidRPr="00875659" w:rsidRDefault="00111C1E" w:rsidP="00875659">
      <w:pPr>
        <w:spacing w:line="360" w:lineRule="auto"/>
        <w:rPr>
          <w:rFonts w:ascii="Arial" w:hAnsi="Arial" w:cs="Arial"/>
          <w:sz w:val="22"/>
          <w:szCs w:val="22"/>
        </w:rPr>
      </w:pPr>
    </w:p>
    <w:p w:rsidR="00875659" w:rsidRDefault="00875659" w:rsidP="0087565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75659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111C1E" w:rsidRDefault="00111C1E" w:rsidP="0087565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75659" w:rsidRPr="00357F42" w:rsidRDefault="00875659" w:rsidP="0087565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02050C2" wp14:editId="4DF43685">
            <wp:extent cx="2562225" cy="1979902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833" cy="20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659" w:rsidRPr="00357F42" w:rsidSect="00875659">
      <w:footerReference w:type="default" r:id="rId9"/>
      <w:headerReference w:type="first" r:id="rId10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1E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5659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24E7"/>
    <w:rsid w:val="00962BE9"/>
    <w:rsid w:val="00967A52"/>
    <w:rsid w:val="009730AE"/>
    <w:rsid w:val="00983FE0"/>
    <w:rsid w:val="00987433"/>
    <w:rsid w:val="00990A8C"/>
    <w:rsid w:val="009A2569"/>
    <w:rsid w:val="009B24CA"/>
    <w:rsid w:val="009C4523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1F7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659"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produktgruppen/bedienen-beobachten/produkte/smart-hmi-ii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192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2</cp:revision>
  <cp:lastPrinted>2020-07-08T10:14:00Z</cp:lastPrinted>
  <dcterms:created xsi:type="dcterms:W3CDTF">2020-11-16T08:27:00Z</dcterms:created>
  <dcterms:modified xsi:type="dcterms:W3CDTF">2020-11-16T08:27:00Z</dcterms:modified>
</cp:coreProperties>
</file>