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A46A0E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05</w:t>
      </w:r>
      <w:r w:rsidR="001A5050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06.</w:t>
      </w:r>
      <w:r w:rsidR="001A5050">
        <w:rPr>
          <w:rFonts w:ascii="Arial" w:hAnsi="Arial"/>
          <w:sz w:val="22"/>
          <w:szCs w:val="22"/>
        </w:rPr>
        <w:t>20</w:t>
      </w:r>
      <w:r w:rsidR="00357F42">
        <w:rPr>
          <w:rFonts w:ascii="Arial" w:hAnsi="Arial"/>
          <w:sz w:val="22"/>
          <w:szCs w:val="22"/>
        </w:rPr>
        <w:t>20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A527FF" w:rsidRPr="00F813FC" w:rsidRDefault="00A527FF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A46A0E" w:rsidRPr="00A46A0E" w:rsidRDefault="00385F0B" w:rsidP="00A46A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A46A0E">
        <w:rPr>
          <w:rFonts w:ascii="Arial" w:hAnsi="Arial" w:cs="Arial"/>
          <w:b/>
          <w:bCs/>
          <w:sz w:val="22"/>
          <w:szCs w:val="22"/>
        </w:rPr>
        <w:t>P2006</w:t>
      </w:r>
      <w:r w:rsidR="00317E8A">
        <w:rPr>
          <w:rFonts w:ascii="Arial" w:hAnsi="Arial" w:cs="Arial"/>
          <w:b/>
          <w:bCs/>
          <w:sz w:val="22"/>
          <w:szCs w:val="22"/>
        </w:rPr>
        <w:t xml:space="preserve">:  </w:t>
      </w:r>
      <w:r w:rsidR="00317E8A" w:rsidRPr="00317E8A">
        <w:t xml:space="preserve"> </w:t>
      </w:r>
      <w:r w:rsidR="00A46A0E" w:rsidRPr="00A46A0E">
        <w:rPr>
          <w:rFonts w:ascii="Arial" w:hAnsi="Arial" w:cs="Arial"/>
          <w:b/>
          <w:bCs/>
          <w:sz w:val="22"/>
          <w:szCs w:val="22"/>
        </w:rPr>
        <w:t>Displays im</w:t>
      </w:r>
      <w:r w:rsidR="00A46A0E" w:rsidRPr="00A46A0E">
        <w:rPr>
          <w:rFonts w:ascii="Arial" w:hAnsi="Arial" w:cs="Arial"/>
          <w:sz w:val="22"/>
          <w:szCs w:val="22"/>
        </w:rPr>
        <w:t xml:space="preserve"> </w:t>
      </w:r>
      <w:r w:rsidR="00A46A0E" w:rsidRPr="00A46A0E">
        <w:rPr>
          <w:rFonts w:ascii="Arial" w:hAnsi="Arial" w:cs="Arial"/>
          <w:b/>
          <w:bCs/>
          <w:sz w:val="22"/>
          <w:szCs w:val="22"/>
        </w:rPr>
        <w:t>Edelstahlgehäuse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9115CA" w:rsidRDefault="009115CA" w:rsidP="000271CD">
      <w:pPr>
        <w:rPr>
          <w:rFonts w:ascii="Arial" w:hAnsi="Arial" w:cs="Arial"/>
          <w:sz w:val="22"/>
          <w:szCs w:val="22"/>
        </w:rPr>
      </w:pPr>
    </w:p>
    <w:p w:rsidR="00A46A0E" w:rsidRPr="00A46A0E" w:rsidRDefault="00A46A0E" w:rsidP="00A46A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46A0E">
        <w:rPr>
          <w:rFonts w:ascii="Arial" w:hAnsi="Arial" w:cs="Arial"/>
          <w:b/>
          <w:bCs/>
          <w:sz w:val="22"/>
          <w:szCs w:val="22"/>
        </w:rPr>
        <w:t xml:space="preserve">Erweiterung der </w:t>
      </w:r>
      <w:proofErr w:type="spellStart"/>
      <w:r w:rsidRPr="00A46A0E">
        <w:rPr>
          <w:rFonts w:ascii="Arial" w:hAnsi="Arial" w:cs="Arial"/>
          <w:b/>
          <w:bCs/>
          <w:sz w:val="22"/>
          <w:szCs w:val="22"/>
        </w:rPr>
        <w:t>ViTAM</w:t>
      </w:r>
      <w:proofErr w:type="spellEnd"/>
      <w:r w:rsidRPr="00A46A0E">
        <w:rPr>
          <w:rFonts w:ascii="Arial" w:hAnsi="Arial" w:cs="Arial"/>
          <w:b/>
          <w:bCs/>
          <w:sz w:val="22"/>
          <w:szCs w:val="22"/>
        </w:rPr>
        <w:t>-Serie um Displays</w:t>
      </w:r>
    </w:p>
    <w:p w:rsidR="00A46A0E" w:rsidRPr="00A46A0E" w:rsidRDefault="00A46A0E" w:rsidP="00A46A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46A0E">
        <w:rPr>
          <w:rFonts w:ascii="Arial" w:hAnsi="Arial" w:cs="Arial"/>
          <w:b/>
          <w:bCs/>
          <w:sz w:val="22"/>
          <w:szCs w:val="22"/>
        </w:rPr>
        <w:t>Displays im</w:t>
      </w:r>
      <w:r w:rsidRPr="00A46A0E">
        <w:rPr>
          <w:rFonts w:ascii="Arial" w:hAnsi="Arial" w:cs="Arial"/>
          <w:sz w:val="22"/>
          <w:szCs w:val="22"/>
        </w:rPr>
        <w:t xml:space="preserve"> </w:t>
      </w:r>
      <w:r w:rsidRPr="00A46A0E">
        <w:rPr>
          <w:rFonts w:ascii="Arial" w:hAnsi="Arial" w:cs="Arial"/>
          <w:b/>
          <w:bCs/>
          <w:sz w:val="22"/>
          <w:szCs w:val="22"/>
        </w:rPr>
        <w:t>Edelstahlgehäuse</w:t>
      </w:r>
    </w:p>
    <w:p w:rsidR="00A46A0E" w:rsidRPr="00A46A0E" w:rsidRDefault="00A46A0E" w:rsidP="00A46A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46A0E">
        <w:rPr>
          <w:rFonts w:ascii="Arial" w:hAnsi="Arial" w:cs="Arial"/>
          <w:b/>
          <w:bCs/>
          <w:sz w:val="22"/>
          <w:szCs w:val="22"/>
        </w:rPr>
        <w:t>Displays für anspruchsvolle Umgebungsbedingungen</w:t>
      </w:r>
    </w:p>
    <w:p w:rsidR="00A46A0E" w:rsidRPr="00A46A0E" w:rsidRDefault="00A46A0E" w:rsidP="00A46A0E">
      <w:pPr>
        <w:spacing w:line="360" w:lineRule="auto"/>
        <w:rPr>
          <w:rFonts w:ascii="Arial" w:hAnsi="Arial" w:cs="Arial"/>
          <w:sz w:val="22"/>
          <w:szCs w:val="22"/>
        </w:rPr>
      </w:pPr>
    </w:p>
    <w:p w:rsidR="00A46A0E" w:rsidRPr="00A46A0E" w:rsidRDefault="00A46A0E" w:rsidP="00A46A0E">
      <w:pPr>
        <w:spacing w:line="360" w:lineRule="auto"/>
        <w:rPr>
          <w:rFonts w:ascii="Arial" w:hAnsi="Arial" w:cs="Arial"/>
          <w:sz w:val="22"/>
          <w:szCs w:val="22"/>
        </w:rPr>
      </w:pPr>
      <w:r w:rsidRPr="00A46A0E">
        <w:rPr>
          <w:rFonts w:ascii="Arial" w:hAnsi="Arial" w:cs="Arial"/>
          <w:sz w:val="22"/>
          <w:szCs w:val="22"/>
        </w:rPr>
        <w:t xml:space="preserve">Als ideale Ergänzung zu den Panel-PC der </w:t>
      </w:r>
      <w:proofErr w:type="spellStart"/>
      <w:r w:rsidRPr="00A46A0E">
        <w:rPr>
          <w:rFonts w:ascii="Arial" w:hAnsi="Arial" w:cs="Arial"/>
          <w:sz w:val="22"/>
          <w:szCs w:val="22"/>
        </w:rPr>
        <w:t>ViTAM</w:t>
      </w:r>
      <w:proofErr w:type="spellEnd"/>
      <w:r w:rsidRPr="00A46A0E">
        <w:rPr>
          <w:rFonts w:ascii="Arial" w:hAnsi="Arial" w:cs="Arial"/>
          <w:sz w:val="22"/>
          <w:szCs w:val="22"/>
        </w:rPr>
        <w:t xml:space="preserve">-Serie überzeugen nun auch die </w:t>
      </w:r>
      <w:proofErr w:type="spellStart"/>
      <w:r w:rsidRPr="00A46A0E">
        <w:rPr>
          <w:rFonts w:ascii="Arial" w:hAnsi="Arial" w:cs="Arial"/>
          <w:sz w:val="22"/>
          <w:szCs w:val="22"/>
        </w:rPr>
        <w:t>ViTAM</w:t>
      </w:r>
      <w:proofErr w:type="spellEnd"/>
      <w:r w:rsidRPr="00A46A0E">
        <w:rPr>
          <w:rFonts w:ascii="Arial" w:hAnsi="Arial" w:cs="Arial"/>
          <w:sz w:val="22"/>
          <w:szCs w:val="22"/>
        </w:rPr>
        <w:t xml:space="preserve">-Displays durch ein modernes, </w:t>
      </w:r>
      <w:proofErr w:type="spellStart"/>
      <w:r w:rsidRPr="00A46A0E">
        <w:rPr>
          <w:rFonts w:ascii="Arial" w:hAnsi="Arial" w:cs="Arial"/>
          <w:sz w:val="22"/>
          <w:szCs w:val="22"/>
        </w:rPr>
        <w:t>lüfterloses</w:t>
      </w:r>
      <w:proofErr w:type="spellEnd"/>
      <w:r w:rsidRPr="00A46A0E">
        <w:rPr>
          <w:rFonts w:ascii="Arial" w:hAnsi="Arial" w:cs="Arial"/>
          <w:sz w:val="22"/>
          <w:szCs w:val="22"/>
        </w:rPr>
        <w:t xml:space="preserve"> Edelstahldesign mit erstklassiger Verarbeitungsqualität. Die zu den IPC optisch identische Front ermöglicht eine nahtlose Integration in das Bedienkonzept der </w:t>
      </w:r>
      <w:proofErr w:type="spellStart"/>
      <w:r w:rsidRPr="00A46A0E">
        <w:rPr>
          <w:rFonts w:ascii="Arial" w:hAnsi="Arial" w:cs="Arial"/>
          <w:sz w:val="22"/>
          <w:szCs w:val="22"/>
        </w:rPr>
        <w:t>ViTAM</w:t>
      </w:r>
      <w:proofErr w:type="spellEnd"/>
      <w:r w:rsidRPr="00A46A0E">
        <w:rPr>
          <w:rFonts w:ascii="Arial" w:hAnsi="Arial" w:cs="Arial"/>
          <w:sz w:val="22"/>
          <w:szCs w:val="22"/>
        </w:rPr>
        <w:t>-Serie.</w:t>
      </w:r>
      <w:r>
        <w:rPr>
          <w:rFonts w:ascii="Arial" w:hAnsi="Arial" w:cs="Arial"/>
          <w:sz w:val="22"/>
          <w:szCs w:val="22"/>
        </w:rPr>
        <w:t xml:space="preserve"> </w:t>
      </w:r>
      <w:r w:rsidRPr="00A46A0E">
        <w:rPr>
          <w:rFonts w:ascii="Arial" w:hAnsi="Arial" w:cs="Arial"/>
          <w:sz w:val="22"/>
          <w:szCs w:val="22"/>
        </w:rPr>
        <w:t>Aufgrund ihres geschlossenen Gehäuses und der rahmenbündigen Ausführung sind diese Displays hervorragend gegen Verunreinigungen geschützt und können sehr einfach gründlich gereinigt werden.</w:t>
      </w:r>
      <w:r>
        <w:rPr>
          <w:rFonts w:ascii="Arial" w:hAnsi="Arial" w:cs="Arial"/>
          <w:sz w:val="22"/>
          <w:szCs w:val="22"/>
        </w:rPr>
        <w:t xml:space="preserve"> </w:t>
      </w:r>
      <w:r w:rsidRPr="00A46A0E">
        <w:rPr>
          <w:rFonts w:ascii="Arial" w:hAnsi="Arial" w:cs="Arial"/>
          <w:sz w:val="22"/>
          <w:szCs w:val="22"/>
        </w:rPr>
        <w:t xml:space="preserve">Es stehen unterschiedliche Optionen zur Verfügung, wie z. B. projiziert-kapazitiver Touch mit Multi-Touch-Support, Optical </w:t>
      </w:r>
      <w:proofErr w:type="spellStart"/>
      <w:r w:rsidRPr="00A46A0E">
        <w:rPr>
          <w:rFonts w:ascii="Arial" w:hAnsi="Arial" w:cs="Arial"/>
          <w:sz w:val="22"/>
          <w:szCs w:val="22"/>
        </w:rPr>
        <w:t>Bonding</w:t>
      </w:r>
      <w:proofErr w:type="spellEnd"/>
      <w:r w:rsidRPr="00A46A0E">
        <w:rPr>
          <w:rFonts w:ascii="Arial" w:hAnsi="Arial" w:cs="Arial"/>
          <w:sz w:val="22"/>
          <w:szCs w:val="22"/>
        </w:rPr>
        <w:t xml:space="preserve"> oder High-</w:t>
      </w:r>
      <w:proofErr w:type="spellStart"/>
      <w:r w:rsidRPr="00A46A0E">
        <w:rPr>
          <w:rFonts w:ascii="Arial" w:hAnsi="Arial" w:cs="Arial"/>
          <w:sz w:val="22"/>
          <w:szCs w:val="22"/>
        </w:rPr>
        <w:t>Brightness</w:t>
      </w:r>
      <w:proofErr w:type="spellEnd"/>
      <w:r w:rsidRPr="00A46A0E">
        <w:rPr>
          <w:rFonts w:ascii="Arial" w:hAnsi="Arial" w:cs="Arial"/>
          <w:sz w:val="22"/>
          <w:szCs w:val="22"/>
        </w:rPr>
        <w:t xml:space="preserve"> für den Outdoor-Einsatz. Damit sind diese Displays in sehr vielen Anwendungen einzusetzen.</w:t>
      </w:r>
    </w:p>
    <w:p w:rsidR="00A46A0E" w:rsidRPr="00A46A0E" w:rsidRDefault="00A46A0E" w:rsidP="00A46A0E">
      <w:pPr>
        <w:spacing w:line="360" w:lineRule="auto"/>
        <w:rPr>
          <w:rFonts w:ascii="Arial" w:hAnsi="Arial" w:cs="Arial"/>
          <w:sz w:val="22"/>
          <w:szCs w:val="22"/>
        </w:rPr>
      </w:pPr>
    </w:p>
    <w:p w:rsidR="00A46A0E" w:rsidRPr="00A46A0E" w:rsidRDefault="00A46A0E" w:rsidP="00A46A0E">
      <w:pPr>
        <w:spacing w:line="360" w:lineRule="auto"/>
        <w:rPr>
          <w:sz w:val="24"/>
          <w:szCs w:val="24"/>
        </w:rPr>
      </w:pPr>
      <w:r w:rsidRPr="00A46A0E">
        <w:rPr>
          <w:rFonts w:ascii="Arial" w:hAnsi="Arial" w:cs="Arial"/>
          <w:sz w:val="22"/>
          <w:szCs w:val="22"/>
        </w:rPr>
        <w:t>Mehr Informationen:</w:t>
      </w:r>
      <w:r w:rsidRPr="00A46A0E">
        <w:rPr>
          <w:sz w:val="24"/>
          <w:szCs w:val="24"/>
        </w:rPr>
        <w:t xml:space="preserve"> </w:t>
      </w:r>
    </w:p>
    <w:p w:rsidR="00A46A0E" w:rsidRPr="00A46A0E" w:rsidRDefault="00A46A0E" w:rsidP="00A46A0E">
      <w:pPr>
        <w:spacing w:line="360" w:lineRule="auto"/>
        <w:rPr>
          <w:rFonts w:ascii="Arial" w:hAnsi="Arial" w:cs="Arial"/>
          <w:sz w:val="22"/>
          <w:szCs w:val="22"/>
        </w:rPr>
      </w:pPr>
      <w:hyperlink r:id="rId7" w:history="1">
        <w:r w:rsidRPr="00A46A0E">
          <w:rPr>
            <w:rFonts w:ascii="Arial" w:hAnsi="Arial" w:cs="Arial"/>
            <w:color w:val="0000FF"/>
            <w:sz w:val="22"/>
            <w:szCs w:val="22"/>
            <w:u w:val="single"/>
          </w:rPr>
          <w:t>https://www.wachendorff-prozesstechnik.de/industrie-display-touch-vitam-serie/</w:t>
        </w:r>
      </w:hyperlink>
    </w:p>
    <w:p w:rsidR="00A46A0E" w:rsidRPr="00A46A0E" w:rsidRDefault="00A46A0E" w:rsidP="00A46A0E">
      <w:pPr>
        <w:spacing w:line="360" w:lineRule="auto"/>
        <w:rPr>
          <w:rFonts w:ascii="Arial" w:hAnsi="Arial" w:cs="Arial"/>
          <w:sz w:val="22"/>
          <w:szCs w:val="22"/>
        </w:rPr>
      </w:pPr>
    </w:p>
    <w:p w:rsidR="00A46A0E" w:rsidRPr="00A46A0E" w:rsidRDefault="00A46A0E" w:rsidP="00A46A0E">
      <w:pPr>
        <w:spacing w:line="360" w:lineRule="auto"/>
        <w:rPr>
          <w:rFonts w:ascii="Arial" w:hAnsi="Arial" w:cs="Arial"/>
          <w:sz w:val="22"/>
          <w:szCs w:val="22"/>
        </w:rPr>
      </w:pPr>
      <w:r w:rsidRPr="00A46A0E">
        <w:rPr>
          <w:rFonts w:ascii="Arial" w:hAnsi="Arial" w:cs="Arial"/>
          <w:sz w:val="22"/>
          <w:szCs w:val="22"/>
        </w:rPr>
        <w:t>Bildmaterial (Wachendorff Prozesstechnik):</w:t>
      </w:r>
    </w:p>
    <w:p w:rsidR="00A46A0E" w:rsidRPr="00357F42" w:rsidRDefault="00A46A0E" w:rsidP="000271C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A98329B" wp14:editId="415DA938">
            <wp:extent cx="5657850" cy="2495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A0E" w:rsidRPr="00357F42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624E7"/>
    <w:rsid w:val="00962BE9"/>
    <w:rsid w:val="00967A52"/>
    <w:rsid w:val="009730AE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6A0E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62F3B"/>
    <w:rsid w:val="00F70D09"/>
    <w:rsid w:val="00F72BE3"/>
    <w:rsid w:val="00F72F4C"/>
    <w:rsid w:val="00F813FC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A0E"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industrie-display-touch-vitam-ser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150</Words>
  <Characters>1351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8</cp:revision>
  <cp:lastPrinted>2019-09-05T06:50:00Z</cp:lastPrinted>
  <dcterms:created xsi:type="dcterms:W3CDTF">2020-04-15T06:48:00Z</dcterms:created>
  <dcterms:modified xsi:type="dcterms:W3CDTF">2020-07-08T10:07:00Z</dcterms:modified>
</cp:coreProperties>
</file>