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4914D2" w:rsidRDefault="0067749D" w:rsidP="00385F0B">
      <w:pPr>
        <w:tabs>
          <w:tab w:val="left" w:pos="6237"/>
        </w:tabs>
        <w:ind w:left="6237"/>
        <w:rPr>
          <w:rFonts w:ascii="Arial" w:hAnsi="Arial"/>
          <w:sz w:val="22"/>
          <w:szCs w:val="22"/>
          <w:lang w:val="it-IT"/>
        </w:rPr>
      </w:pPr>
      <w:r>
        <w:rPr>
          <w:rFonts w:ascii="Arial" w:hAnsi="Arial"/>
          <w:noProof/>
          <w:sz w:val="22"/>
          <w:szCs w:val="22"/>
        </w:rPr>
        <w:drawing>
          <wp:anchor distT="0" distB="0" distL="114300" distR="114300" simplePos="0" relativeHeight="251659264" behindDoc="0" locked="0" layoutInCell="1" allowOverlap="1" wp14:anchorId="576CDD47" wp14:editId="0671BF98">
            <wp:simplePos x="0" y="0"/>
            <wp:positionH relativeFrom="column">
              <wp:posOffset>180975</wp:posOffset>
            </wp:positionH>
            <wp:positionV relativeFrom="paragraph">
              <wp:posOffset>-746125</wp:posOffset>
            </wp:positionV>
            <wp:extent cx="1263600" cy="1440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_IPC_DRIVES_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00" cy="1440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85F0B" w:rsidRPr="004914D2">
        <w:rPr>
          <w:rFonts w:ascii="Arial" w:hAnsi="Arial"/>
          <w:sz w:val="22"/>
          <w:szCs w:val="22"/>
          <w:lang w:val="it-IT"/>
        </w:rPr>
        <w:t>Ansprechpartner</w:t>
      </w:r>
      <w:proofErr w:type="spellEnd"/>
      <w:r w:rsidR="00385F0B" w:rsidRPr="004914D2">
        <w:rPr>
          <w:rFonts w:ascii="Arial" w:hAnsi="Arial"/>
          <w:sz w:val="22"/>
          <w:szCs w:val="22"/>
          <w:lang w:val="it-IT"/>
        </w:rPr>
        <w:t xml:space="preserve"> </w:t>
      </w:r>
      <w:proofErr w:type="spellStart"/>
      <w:r w:rsidR="00385F0B" w:rsidRPr="004914D2">
        <w:rPr>
          <w:rFonts w:ascii="Arial" w:hAnsi="Arial"/>
          <w:sz w:val="22"/>
          <w:szCs w:val="22"/>
          <w:lang w:val="it-IT"/>
        </w:rPr>
        <w:t>für</w:t>
      </w:r>
      <w:proofErr w:type="spellEnd"/>
      <w:r w:rsidR="00385F0B" w:rsidRPr="004914D2">
        <w:rPr>
          <w:rFonts w:ascii="Arial" w:hAnsi="Arial"/>
          <w:sz w:val="22"/>
          <w:szCs w:val="22"/>
          <w:lang w:val="it-IT"/>
        </w:rPr>
        <w:t xml:space="preserve"> </w:t>
      </w:r>
      <w:proofErr w:type="spellStart"/>
      <w:proofErr w:type="gramStart"/>
      <w:r w:rsidR="00385F0B" w:rsidRPr="004914D2">
        <w:rPr>
          <w:rFonts w:ascii="Arial" w:hAnsi="Arial"/>
          <w:sz w:val="22"/>
          <w:szCs w:val="22"/>
          <w:lang w:val="it-IT"/>
        </w:rPr>
        <w:t>Redaktionen</w:t>
      </w:r>
      <w:proofErr w:type="spellEnd"/>
      <w:r w:rsidR="00385F0B" w:rsidRPr="004914D2">
        <w:rPr>
          <w:rFonts w:ascii="Arial" w:hAnsi="Arial"/>
          <w:sz w:val="22"/>
          <w:szCs w:val="22"/>
          <w:lang w:val="it-IT"/>
        </w:rPr>
        <w:t>:</w:t>
      </w:r>
      <w:r w:rsidR="005B35A6">
        <w:rPr>
          <w:rFonts w:ascii="Arial" w:hAnsi="Arial"/>
          <w:sz w:val="22"/>
          <w:szCs w:val="22"/>
          <w:lang w:val="it-IT"/>
        </w:rPr>
        <w:br/>
        <w:t>D</w:t>
      </w:r>
      <w:r w:rsidR="00385F0B" w:rsidRPr="004914D2">
        <w:rPr>
          <w:rFonts w:ascii="Arial" w:hAnsi="Arial"/>
          <w:sz w:val="22"/>
          <w:szCs w:val="22"/>
          <w:lang w:val="it-IT"/>
        </w:rPr>
        <w:t>irk</w:t>
      </w:r>
      <w:proofErr w:type="gramEnd"/>
      <w:r w:rsidR="00385F0B" w:rsidRPr="004914D2">
        <w:rPr>
          <w:rFonts w:ascii="Arial" w:hAnsi="Arial"/>
          <w:sz w:val="22"/>
          <w:szCs w:val="22"/>
          <w:lang w:val="it-IT"/>
        </w:rPr>
        <w:t xml:space="preserve"> Rott, </w:t>
      </w:r>
      <w:proofErr w:type="spellStart"/>
      <w:r w:rsidR="00385F0B" w:rsidRPr="004914D2">
        <w:rPr>
          <w:rFonts w:ascii="Arial" w:hAnsi="Arial"/>
          <w:sz w:val="22"/>
          <w:szCs w:val="22"/>
          <w:lang w:val="it-IT"/>
        </w:rPr>
        <w:t>Leiter</w:t>
      </w:r>
      <w:proofErr w:type="spellEnd"/>
      <w:r w:rsidR="00385F0B" w:rsidRPr="004914D2">
        <w:rPr>
          <w:rFonts w:ascii="Arial" w:hAnsi="Arial"/>
          <w:sz w:val="22"/>
          <w:szCs w:val="22"/>
          <w:lang w:val="it-IT"/>
        </w:rPr>
        <w:t xml:space="preserve"> Marketing</w:t>
      </w:r>
    </w:p>
    <w:p w:rsidR="000A7E7C" w:rsidRPr="004914D2" w:rsidRDefault="000A7E7C">
      <w:pPr>
        <w:tabs>
          <w:tab w:val="left" w:pos="6237"/>
        </w:tabs>
        <w:ind w:left="-284"/>
        <w:rPr>
          <w:rFonts w:ascii="Arial" w:hAnsi="Arial"/>
          <w:sz w:val="22"/>
          <w:szCs w:val="22"/>
          <w:lang w:val="it-IT"/>
        </w:rPr>
      </w:pPr>
    </w:p>
    <w:p w:rsidR="00385F0B" w:rsidRPr="00615245" w:rsidRDefault="00385F0B">
      <w:pPr>
        <w:tabs>
          <w:tab w:val="left" w:pos="6237"/>
        </w:tabs>
        <w:ind w:left="-284"/>
        <w:rPr>
          <w:rFonts w:ascii="Arial" w:hAnsi="Arial"/>
          <w:b/>
          <w:lang w:val="it-IT"/>
        </w:rPr>
      </w:pPr>
    </w:p>
    <w:p w:rsidR="002D3754" w:rsidRPr="00097186" w:rsidRDefault="00385F0B">
      <w:pPr>
        <w:tabs>
          <w:tab w:val="left" w:pos="6237"/>
        </w:tabs>
        <w:ind w:left="-284"/>
        <w:rPr>
          <w:rFonts w:ascii="Arial" w:hAnsi="Arial"/>
          <w:sz w:val="22"/>
          <w:szCs w:val="22"/>
        </w:rPr>
      </w:pPr>
      <w:r w:rsidRPr="00615245">
        <w:rPr>
          <w:rFonts w:ascii="Arial" w:hAnsi="Arial"/>
        </w:rPr>
        <w:tab/>
      </w:r>
      <w:r w:rsidR="00995A22">
        <w:rPr>
          <w:rFonts w:ascii="Arial" w:hAnsi="Arial"/>
          <w:sz w:val="22"/>
          <w:szCs w:val="22"/>
        </w:rPr>
        <w:t>2</w:t>
      </w:r>
      <w:r w:rsidR="005B35A6">
        <w:rPr>
          <w:rFonts w:ascii="Arial" w:hAnsi="Arial"/>
          <w:sz w:val="22"/>
          <w:szCs w:val="22"/>
        </w:rPr>
        <w:t>5</w:t>
      </w:r>
      <w:r w:rsidR="00995A22">
        <w:rPr>
          <w:rFonts w:ascii="Arial" w:hAnsi="Arial"/>
          <w:sz w:val="22"/>
          <w:szCs w:val="22"/>
        </w:rPr>
        <w:t xml:space="preserve">. </w:t>
      </w:r>
      <w:r w:rsidR="005B35A6">
        <w:rPr>
          <w:rFonts w:ascii="Arial" w:hAnsi="Arial"/>
          <w:sz w:val="22"/>
          <w:szCs w:val="22"/>
        </w:rPr>
        <w:t>September 2017</w:t>
      </w:r>
      <w:r w:rsidR="001A2183" w:rsidRPr="00097186">
        <w:rPr>
          <w:rFonts w:ascii="Arial" w:hAnsi="Arial"/>
          <w:sz w:val="22"/>
          <w:szCs w:val="22"/>
        </w:rPr>
        <w:br/>
      </w:r>
    </w:p>
    <w:p w:rsidR="00EA45EA" w:rsidRDefault="004B716D" w:rsidP="00EA45EA">
      <w:pPr>
        <w:rPr>
          <w:rFonts w:ascii="Arial" w:hAnsi="Arial" w:cs="Arial"/>
        </w:rPr>
      </w:pPr>
      <w:r w:rsidRPr="00B34085">
        <w:rPr>
          <w:rFonts w:ascii="Arial" w:hAnsi="Arial" w:cs="Arial"/>
          <w:b/>
          <w:bCs/>
          <w:sz w:val="28"/>
          <w:szCs w:val="28"/>
        </w:rPr>
        <w:t>W</w:t>
      </w:r>
      <w:r w:rsidR="005B35A6" w:rsidRPr="00B34085">
        <w:rPr>
          <w:rFonts w:ascii="Arial" w:hAnsi="Arial" w:cs="Arial"/>
          <w:b/>
          <w:bCs/>
          <w:sz w:val="28"/>
          <w:szCs w:val="28"/>
        </w:rPr>
        <w:t>hitepaper</w:t>
      </w:r>
      <w:r w:rsidRPr="00B34085">
        <w:rPr>
          <w:rFonts w:ascii="Arial" w:hAnsi="Arial" w:cs="Arial"/>
          <w:b/>
          <w:bCs/>
          <w:sz w:val="28"/>
          <w:szCs w:val="28"/>
        </w:rPr>
        <w:t xml:space="preserve"> </w:t>
      </w:r>
      <w:r w:rsidR="005B35A6" w:rsidRPr="00B34085">
        <w:rPr>
          <w:rFonts w:ascii="Arial" w:hAnsi="Arial" w:cs="Arial"/>
          <w:b/>
          <w:bCs/>
          <w:sz w:val="28"/>
          <w:szCs w:val="28"/>
        </w:rPr>
        <w:t xml:space="preserve">„Kommunikationsgateway für </w:t>
      </w:r>
      <w:proofErr w:type="spellStart"/>
      <w:r w:rsidR="005B35A6" w:rsidRPr="00B34085">
        <w:rPr>
          <w:rFonts w:ascii="Arial" w:hAnsi="Arial" w:cs="Arial"/>
          <w:b/>
          <w:bCs/>
          <w:sz w:val="28"/>
          <w:szCs w:val="28"/>
        </w:rPr>
        <w:t>IIoT</w:t>
      </w:r>
      <w:proofErr w:type="spellEnd"/>
      <w:r w:rsidR="005B35A6" w:rsidRPr="00B34085">
        <w:rPr>
          <w:rFonts w:ascii="Arial" w:hAnsi="Arial" w:cs="Arial"/>
          <w:b/>
          <w:bCs/>
          <w:sz w:val="28"/>
          <w:szCs w:val="28"/>
        </w:rPr>
        <w:t>-Anwendungen</w:t>
      </w:r>
      <w:r w:rsidR="00E42CF2">
        <w:rPr>
          <w:rFonts w:ascii="Arial" w:hAnsi="Arial" w:cs="Arial"/>
          <w:b/>
          <w:bCs/>
          <w:sz w:val="24"/>
          <w:szCs w:val="24"/>
        </w:rPr>
        <w:br/>
      </w:r>
      <w:r w:rsidR="009F6B99" w:rsidRPr="00E42CF2">
        <w:rPr>
          <w:rFonts w:ascii="Arial" w:hAnsi="Arial" w:cs="Arial"/>
          <w:b/>
          <w:bCs/>
          <w:sz w:val="8"/>
          <w:szCs w:val="8"/>
        </w:rPr>
        <w:br/>
      </w:r>
      <w:r w:rsidR="00385F0B" w:rsidRPr="001A5236">
        <w:rPr>
          <w:rFonts w:ascii="Arial" w:hAnsi="Arial" w:cs="Arial"/>
        </w:rPr>
        <w:t>Bilder</w:t>
      </w:r>
      <w:r w:rsidR="00C9587D" w:rsidRPr="001A5236">
        <w:rPr>
          <w:rFonts w:ascii="Arial" w:hAnsi="Arial" w:cs="Arial"/>
        </w:rPr>
        <w:t>/</w:t>
      </w:r>
      <w:r w:rsidR="00385F0B" w:rsidRPr="001A5236">
        <w:rPr>
          <w:rFonts w:ascii="Arial" w:hAnsi="Arial" w:cs="Arial"/>
        </w:rPr>
        <w:t>Textmaterial sind für die Veröffentlichung in der Fachpresse (Print und Online) freigegeben.</w:t>
      </w:r>
      <w:r w:rsidR="00E42CF2">
        <w:rPr>
          <w:rFonts w:ascii="Arial" w:hAnsi="Arial" w:cs="Arial"/>
        </w:rPr>
        <w:br/>
      </w:r>
      <w:r w:rsidR="00385F0B" w:rsidRPr="001A5236">
        <w:rPr>
          <w:rFonts w:ascii="Arial" w:hAnsi="Arial" w:cs="Arial"/>
        </w:rPr>
        <w:t xml:space="preserve">Bitte senden Sie uns nach der Veröffentlichung ein Belegexemplar zu. </w:t>
      </w:r>
      <w:r w:rsidR="00E42CF2">
        <w:rPr>
          <w:rFonts w:ascii="Arial" w:hAnsi="Arial" w:cs="Arial"/>
        </w:rPr>
        <w:br/>
      </w:r>
      <w:r w:rsidR="00385F0B" w:rsidRPr="001A5236">
        <w:rPr>
          <w:rFonts w:ascii="Arial" w:hAnsi="Arial" w:cs="Arial"/>
        </w:rPr>
        <w:t>Herzlichen Dank für Ihre Bemühungen im Voraus.</w:t>
      </w:r>
    </w:p>
    <w:p w:rsidR="004914D2" w:rsidRPr="004B716D" w:rsidRDefault="0089091F" w:rsidP="00130578">
      <w:pPr>
        <w:rPr>
          <w:rStyle w:val="Fett"/>
          <w:rFonts w:ascii="Arial" w:hAnsi="Arial" w:cs="Arial"/>
          <w:b w:val="0"/>
          <w:sz w:val="22"/>
          <w:szCs w:val="22"/>
        </w:rPr>
      </w:pPr>
      <w:r w:rsidRPr="00092943">
        <w:rPr>
          <w:rFonts w:ascii="Arial" w:hAnsi="Arial" w:cs="Arial"/>
          <w:sz w:val="24"/>
          <w:szCs w:val="24"/>
        </w:rPr>
        <w:t>________________________________________________________________________</w:t>
      </w:r>
      <w:r w:rsidRPr="00092943">
        <w:rPr>
          <w:rFonts w:ascii="Arial" w:hAnsi="Arial" w:cs="Arial"/>
          <w:sz w:val="24"/>
          <w:szCs w:val="24"/>
        </w:rPr>
        <w:br/>
      </w:r>
    </w:p>
    <w:p w:rsidR="002A466B" w:rsidRDefault="002A466B" w:rsidP="002A466B">
      <w:pPr>
        <w:spacing w:after="160" w:line="259" w:lineRule="auto"/>
        <w:rPr>
          <w:rFonts w:ascii="Arial" w:eastAsiaTheme="minorHAnsi" w:hAnsi="Arial" w:cs="Arial"/>
          <w:b/>
          <w:noProof/>
          <w:color w:val="FF0000"/>
          <w:sz w:val="28"/>
          <w:szCs w:val="28"/>
        </w:rPr>
      </w:pPr>
      <w:bookmarkStart w:id="0" w:name="_GoBack"/>
      <w:bookmarkEnd w:id="0"/>
    </w:p>
    <w:p w:rsidR="002A466B" w:rsidRPr="002A466B" w:rsidRDefault="002A466B" w:rsidP="002A466B">
      <w:pPr>
        <w:spacing w:after="160" w:line="259" w:lineRule="auto"/>
        <w:rPr>
          <w:rFonts w:ascii="Arial" w:eastAsiaTheme="minorHAnsi" w:hAnsi="Arial" w:cs="Arial"/>
          <w:b/>
          <w:noProof/>
          <w:color w:val="FF0000"/>
          <w:sz w:val="28"/>
          <w:szCs w:val="28"/>
        </w:rPr>
      </w:pPr>
      <w:r w:rsidRPr="005B35A6">
        <w:rPr>
          <w:rFonts w:ascii="Arial" w:eastAsiaTheme="minorHAnsi" w:hAnsi="Arial" w:cs="Arial"/>
          <w:b/>
          <w:noProof/>
          <w:sz w:val="28"/>
          <w:szCs w:val="28"/>
        </w:rPr>
        <w:t>Kommunikationsgateway für IIoT-Anwendungen</w:t>
      </w:r>
    </w:p>
    <w:p w:rsidR="002A466B" w:rsidRPr="005B35A6" w:rsidRDefault="002A466B" w:rsidP="002A466B">
      <w:pPr>
        <w:spacing w:after="160" w:line="259" w:lineRule="auto"/>
        <w:rPr>
          <w:rFonts w:ascii="Arial" w:eastAsiaTheme="minorHAnsi" w:hAnsi="Arial" w:cs="Arial"/>
          <w:b/>
          <w:noProof/>
          <w:sz w:val="22"/>
          <w:szCs w:val="22"/>
        </w:rPr>
      </w:pPr>
      <w:r w:rsidRPr="005B35A6">
        <w:rPr>
          <w:rFonts w:ascii="Arial" w:eastAsiaTheme="minorHAnsi" w:hAnsi="Arial" w:cs="Arial"/>
          <w:b/>
          <w:noProof/>
          <w:sz w:val="22"/>
          <w:szCs w:val="22"/>
        </w:rPr>
        <w:t>Einführung</w:t>
      </w:r>
    </w:p>
    <w:p w:rsidR="002A466B" w:rsidRPr="005B35A6" w:rsidRDefault="002A466B" w:rsidP="002A466B">
      <w:pPr>
        <w:spacing w:after="160" w:line="259" w:lineRule="auto"/>
        <w:rPr>
          <w:rFonts w:ascii="Arial" w:eastAsiaTheme="minorHAnsi" w:hAnsi="Arial" w:cs="Arial"/>
          <w:noProof/>
          <w:sz w:val="22"/>
          <w:szCs w:val="22"/>
        </w:rPr>
      </w:pPr>
      <w:r w:rsidRPr="005B35A6">
        <w:rPr>
          <w:rFonts w:ascii="Arial" w:eastAsiaTheme="minorHAnsi" w:hAnsi="Arial" w:cs="Arial"/>
          <w:noProof/>
          <w:sz w:val="22"/>
          <w:szCs w:val="22"/>
        </w:rPr>
        <w:t xml:space="preserve">In einer IIoT-Anwendung spielt die Datenintegrität eine mitentscheidende Rolle. Zur Erreichung dieser Datenintegrität ist es essenziell, dass die Kommunikation von Maschinen und Anlagen mit den übergeordneten Überwachungs- und Steuerungssystemen (u. a. SCADA, ERP) nahtlos funktioniert. </w:t>
      </w:r>
      <w:r w:rsidRPr="005B35A6">
        <w:rPr>
          <w:rFonts w:ascii="Arial" w:eastAsiaTheme="minorHAnsi" w:hAnsi="Arial" w:cs="Arial"/>
          <w:noProof/>
          <w:sz w:val="22"/>
          <w:szCs w:val="22"/>
        </w:rPr>
        <w:br/>
        <w:t>In einer Fabrik, in der jede Steuerung ihren eigenen Treiber zur Kommunikation verwendet, ist das Sicherstellen der Datenintegrität sehr schwierig.</w:t>
      </w:r>
      <w:r w:rsidRPr="005B35A6">
        <w:rPr>
          <w:rFonts w:ascii="Arial" w:eastAsiaTheme="minorHAnsi" w:hAnsi="Arial" w:cs="Arial"/>
          <w:noProof/>
          <w:sz w:val="22"/>
          <w:szCs w:val="22"/>
        </w:rPr>
        <w:br/>
        <w:t xml:space="preserve">Mit dem WBGcMTG01 liefern wir Ihnen ein smartes IIoT-Kommunikationsgateway, dass Ihnen die beste Lösung für Datentransfer und Integration im IIoT bietet. </w:t>
      </w:r>
    </w:p>
    <w:p w:rsidR="002A466B" w:rsidRPr="005B35A6" w:rsidRDefault="002A466B" w:rsidP="002A466B">
      <w:pPr>
        <w:snapToGrid w:val="0"/>
        <w:spacing w:after="160" w:line="259" w:lineRule="auto"/>
        <w:jc w:val="both"/>
        <w:rPr>
          <w:rFonts w:ascii="Arial" w:eastAsiaTheme="minorHAnsi" w:hAnsi="Arial" w:cs="Arial"/>
          <w:noProof/>
          <w:sz w:val="22"/>
          <w:szCs w:val="22"/>
        </w:rPr>
      </w:pPr>
      <w:r w:rsidRPr="005B35A6">
        <w:rPr>
          <w:rFonts w:ascii="Arial" w:eastAsiaTheme="minorHAnsi" w:hAnsi="Arial" w:cs="Arial"/>
          <w:noProof/>
          <w:sz w:val="22"/>
          <w:szCs w:val="22"/>
        </w:rPr>
        <w:t>Durch die de-facto Standard-IIoT-Protokolle MQTT und OPC UA besitzt das WBGcMTG01 zur Verarbeitung von Daten und kann die Protokolle der unterschiedlichsten Steuerungen integrieren.</w:t>
      </w:r>
    </w:p>
    <w:p w:rsidR="002A466B" w:rsidRPr="005B35A6" w:rsidRDefault="002A466B" w:rsidP="002A466B">
      <w:pPr>
        <w:snapToGrid w:val="0"/>
        <w:spacing w:after="160" w:line="259" w:lineRule="auto"/>
        <w:jc w:val="both"/>
        <w:rPr>
          <w:rFonts w:ascii="Arial" w:eastAsiaTheme="minorHAnsi" w:hAnsi="Arial" w:cs="Arial"/>
          <w:noProof/>
          <w:sz w:val="22"/>
          <w:szCs w:val="22"/>
        </w:rPr>
      </w:pPr>
      <w:r w:rsidRPr="005B35A6">
        <w:rPr>
          <w:rFonts w:ascii="Arial" w:eastAsiaTheme="minorHAnsi" w:hAnsi="Arial" w:cs="Arial"/>
          <w:noProof/>
          <w:sz w:val="22"/>
          <w:szCs w:val="22"/>
        </w:rPr>
        <w:t>Somit können Daten von Maschinen/Anlagen gesammelt und analysiert, eine sichere Datenübertragung zur übergeordneten Leitebene sichergestellt, sowie die Echtzeit-Ereignis-/Alarmierung dem Bediener visualisiert werden. Das Kommunikationsgateway WBGcMTG01 macht aus Ihrer Fabrik eine „smart factory“.</w:t>
      </w:r>
    </w:p>
    <w:p w:rsidR="005B35A6" w:rsidRPr="005B35A6" w:rsidRDefault="005B35A6" w:rsidP="002A466B">
      <w:pPr>
        <w:spacing w:after="160" w:line="259" w:lineRule="auto"/>
        <w:rPr>
          <w:rFonts w:ascii="Arial" w:eastAsiaTheme="minorHAnsi" w:hAnsi="Arial" w:cs="Arial"/>
          <w:b/>
          <w:noProof/>
          <w:color w:val="0070C0"/>
          <w:sz w:val="22"/>
          <w:szCs w:val="22"/>
        </w:rPr>
      </w:pPr>
    </w:p>
    <w:p w:rsidR="002A466B" w:rsidRPr="005B35A6" w:rsidRDefault="005B35A6" w:rsidP="002A466B">
      <w:pPr>
        <w:spacing w:after="160" w:line="259" w:lineRule="auto"/>
        <w:rPr>
          <w:rFonts w:ascii="Arial" w:eastAsiaTheme="minorHAnsi" w:hAnsi="Arial" w:cs="Arial"/>
          <w:b/>
          <w:noProof/>
          <w:sz w:val="22"/>
          <w:szCs w:val="22"/>
        </w:rPr>
      </w:pPr>
      <w:r w:rsidRPr="005B35A6">
        <w:rPr>
          <w:rFonts w:ascii="Arial" w:eastAsiaTheme="minorHAnsi" w:hAnsi="Arial" w:cs="Arial"/>
          <w:b/>
          <w:noProof/>
          <w:sz w:val="22"/>
          <w:szCs w:val="22"/>
        </w:rPr>
        <w:t xml:space="preserve">Vielfältige </w:t>
      </w:r>
      <w:r w:rsidR="002A466B" w:rsidRPr="005B35A6">
        <w:rPr>
          <w:rFonts w:ascii="Arial" w:eastAsiaTheme="minorHAnsi" w:hAnsi="Arial" w:cs="Arial"/>
          <w:b/>
          <w:noProof/>
          <w:sz w:val="22"/>
          <w:szCs w:val="22"/>
        </w:rPr>
        <w:t>Vorteile</w:t>
      </w:r>
    </w:p>
    <w:p w:rsidR="002A466B" w:rsidRPr="005B35A6" w:rsidRDefault="002A466B" w:rsidP="002A466B">
      <w:pPr>
        <w:spacing w:after="160" w:line="259" w:lineRule="auto"/>
        <w:contextualSpacing/>
        <w:rPr>
          <w:rFonts w:ascii="Arial" w:eastAsiaTheme="minorHAnsi" w:hAnsi="Arial" w:cs="Arial"/>
          <w:noProof/>
          <w:sz w:val="22"/>
          <w:szCs w:val="22"/>
        </w:rPr>
      </w:pPr>
      <w:r w:rsidRPr="005B35A6">
        <w:rPr>
          <w:rFonts w:ascii="Arial" w:eastAsiaTheme="minorHAnsi" w:hAnsi="Arial" w:cs="Arial"/>
          <w:b/>
          <w:noProof/>
          <w:sz w:val="22"/>
          <w:szCs w:val="22"/>
        </w:rPr>
        <w:t>Protokollintegration</w:t>
      </w:r>
      <w:r w:rsidR="005B35A6" w:rsidRPr="005B35A6">
        <w:rPr>
          <w:rFonts w:ascii="Arial" w:eastAsiaTheme="minorHAnsi" w:hAnsi="Arial" w:cs="Arial"/>
          <w:b/>
          <w:noProof/>
          <w:sz w:val="22"/>
          <w:szCs w:val="22"/>
        </w:rPr>
        <w:br/>
      </w:r>
      <w:r w:rsidRPr="005B35A6">
        <w:rPr>
          <w:rFonts w:ascii="Arial" w:eastAsiaTheme="minorHAnsi" w:hAnsi="Arial" w:cs="Arial"/>
          <w:noProof/>
          <w:sz w:val="22"/>
          <w:szCs w:val="22"/>
        </w:rPr>
        <w:t>Im Gegensatz zu anderen Kommunikationsgateways, die durch die geringe Konnektivität der Gesamtsysteme Ihren Einsatzbereich finden (für jedes Teilsystem ein eigenes Kommunikationsgateway), ist das WBGcMTG01 in der Lage, mit mehr als 300 Steuerungen namhafter Hersteller zu kommunizieren und alle erforderlichen Daten von den Steuerungen zu den SCADA- oder ERP-Systemen zu übertragen. Das WBGcMTG01 integriert eine Vielzahl von Funktionen in einem Gerät.</w:t>
      </w:r>
    </w:p>
    <w:p w:rsidR="002A466B" w:rsidRPr="005B35A6" w:rsidRDefault="002A466B" w:rsidP="002A466B">
      <w:pPr>
        <w:spacing w:after="160" w:line="259" w:lineRule="auto"/>
        <w:rPr>
          <w:rFonts w:ascii="Arial" w:eastAsiaTheme="minorHAnsi" w:hAnsi="Arial" w:cs="Arial"/>
          <w:noProof/>
          <w:sz w:val="22"/>
          <w:szCs w:val="22"/>
        </w:rPr>
      </w:pPr>
    </w:p>
    <w:p w:rsidR="005B35A6" w:rsidRDefault="005B35A6" w:rsidP="002A466B">
      <w:pPr>
        <w:spacing w:after="160" w:line="259" w:lineRule="auto"/>
        <w:rPr>
          <w:rFonts w:ascii="Arial" w:eastAsiaTheme="minorHAnsi" w:hAnsi="Arial" w:cs="Arial"/>
          <w:noProof/>
          <w:sz w:val="22"/>
          <w:szCs w:val="22"/>
        </w:rPr>
      </w:pPr>
    </w:p>
    <w:p w:rsidR="005B35A6" w:rsidRDefault="005B35A6" w:rsidP="002A466B">
      <w:pPr>
        <w:spacing w:after="160" w:line="259" w:lineRule="auto"/>
        <w:rPr>
          <w:rFonts w:ascii="Arial" w:eastAsiaTheme="minorHAnsi" w:hAnsi="Arial" w:cs="Arial"/>
          <w:noProof/>
          <w:sz w:val="22"/>
          <w:szCs w:val="22"/>
        </w:rPr>
      </w:pPr>
    </w:p>
    <w:p w:rsidR="001E56E0" w:rsidRDefault="001E56E0" w:rsidP="002A466B">
      <w:pPr>
        <w:spacing w:after="160" w:line="259" w:lineRule="auto"/>
        <w:rPr>
          <w:rFonts w:ascii="Arial" w:eastAsiaTheme="minorHAnsi" w:hAnsi="Arial" w:cs="Arial"/>
          <w:noProof/>
          <w:sz w:val="22"/>
          <w:szCs w:val="22"/>
        </w:rPr>
      </w:pPr>
    </w:p>
    <w:p w:rsidR="001E56E0" w:rsidRDefault="001E56E0" w:rsidP="002A466B">
      <w:pPr>
        <w:spacing w:after="160" w:line="259" w:lineRule="auto"/>
        <w:rPr>
          <w:rFonts w:ascii="Arial" w:eastAsiaTheme="minorHAnsi" w:hAnsi="Arial" w:cs="Arial"/>
          <w:noProof/>
          <w:sz w:val="22"/>
          <w:szCs w:val="22"/>
        </w:rPr>
      </w:pPr>
    </w:p>
    <w:p w:rsidR="001E56E0" w:rsidRDefault="001E56E0" w:rsidP="002A466B">
      <w:pPr>
        <w:spacing w:after="160" w:line="259" w:lineRule="auto"/>
        <w:rPr>
          <w:rFonts w:ascii="Arial" w:eastAsiaTheme="minorHAnsi" w:hAnsi="Arial" w:cs="Arial"/>
          <w:noProof/>
          <w:sz w:val="22"/>
          <w:szCs w:val="22"/>
        </w:rPr>
      </w:pPr>
    </w:p>
    <w:p w:rsidR="001E56E0" w:rsidRDefault="001E56E0" w:rsidP="002A466B">
      <w:pPr>
        <w:spacing w:after="160" w:line="259" w:lineRule="auto"/>
        <w:rPr>
          <w:rFonts w:ascii="Arial" w:eastAsiaTheme="minorHAnsi" w:hAnsi="Arial" w:cs="Arial"/>
          <w:noProof/>
          <w:sz w:val="22"/>
          <w:szCs w:val="22"/>
        </w:rPr>
      </w:pPr>
    </w:p>
    <w:p w:rsidR="002A466B" w:rsidRDefault="002A466B" w:rsidP="002A466B">
      <w:pPr>
        <w:spacing w:after="160" w:line="259" w:lineRule="auto"/>
        <w:rPr>
          <w:rFonts w:ascii="Arial" w:eastAsiaTheme="minorHAnsi" w:hAnsi="Arial" w:cs="Arial"/>
          <w:noProof/>
          <w:sz w:val="22"/>
          <w:szCs w:val="22"/>
        </w:rPr>
      </w:pPr>
      <w:r w:rsidRPr="005B35A6">
        <w:rPr>
          <w:rFonts w:ascii="Arial" w:eastAsia="Microsoft JhengHei" w:hAnsi="Arial" w:cs="Arial"/>
          <w:noProof/>
          <w:color w:val="404040"/>
          <w:sz w:val="22"/>
          <w:szCs w:val="22"/>
        </w:rPr>
        <w:drawing>
          <wp:inline distT="0" distB="0" distL="0" distR="0" wp14:anchorId="3438CADA" wp14:editId="01CAD249">
            <wp:extent cx="5026981" cy="2223253"/>
            <wp:effectExtent l="0" t="0" r="0" b="0"/>
            <wp:docPr id="3" name="Grafik 3" descr="描述: 描述: 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D-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32315" cy="2225612"/>
                    </a:xfrm>
                    <a:prstGeom prst="rect">
                      <a:avLst/>
                    </a:prstGeom>
                    <a:noFill/>
                    <a:ln>
                      <a:noFill/>
                    </a:ln>
                  </pic:spPr>
                </pic:pic>
              </a:graphicData>
            </a:graphic>
          </wp:inline>
        </w:drawing>
      </w:r>
    </w:p>
    <w:p w:rsidR="001E56E0" w:rsidRDefault="001E56E0" w:rsidP="005B35A6">
      <w:pPr>
        <w:spacing w:after="160" w:line="259" w:lineRule="auto"/>
        <w:contextualSpacing/>
        <w:rPr>
          <w:rFonts w:ascii="Arial" w:eastAsiaTheme="minorHAnsi" w:hAnsi="Arial" w:cs="Arial"/>
          <w:b/>
          <w:noProof/>
          <w:sz w:val="22"/>
          <w:szCs w:val="22"/>
        </w:rPr>
      </w:pPr>
    </w:p>
    <w:p w:rsidR="002A466B" w:rsidRPr="005B35A6" w:rsidRDefault="002A466B" w:rsidP="005B35A6">
      <w:pPr>
        <w:spacing w:after="160" w:line="259" w:lineRule="auto"/>
        <w:contextualSpacing/>
        <w:rPr>
          <w:rFonts w:ascii="Arial" w:eastAsiaTheme="minorHAnsi" w:hAnsi="Arial" w:cs="Arial"/>
          <w:b/>
          <w:noProof/>
          <w:sz w:val="22"/>
          <w:szCs w:val="22"/>
        </w:rPr>
      </w:pPr>
      <w:r w:rsidRPr="005B35A6">
        <w:rPr>
          <w:rFonts w:ascii="Arial" w:eastAsiaTheme="minorHAnsi" w:hAnsi="Arial" w:cs="Arial"/>
          <w:b/>
          <w:noProof/>
          <w:sz w:val="22"/>
          <w:szCs w:val="22"/>
        </w:rPr>
        <w:t>Datenakquise und Analyse</w:t>
      </w:r>
    </w:p>
    <w:p w:rsidR="002A466B" w:rsidRPr="005B35A6" w:rsidRDefault="002A466B" w:rsidP="005B35A6">
      <w:pPr>
        <w:snapToGrid w:val="0"/>
        <w:spacing w:after="160" w:line="259" w:lineRule="auto"/>
        <w:jc w:val="both"/>
        <w:rPr>
          <w:rFonts w:ascii="Arial" w:eastAsiaTheme="minorHAnsi" w:hAnsi="Arial" w:cs="Arial"/>
          <w:noProof/>
          <w:sz w:val="22"/>
          <w:szCs w:val="22"/>
        </w:rPr>
      </w:pPr>
      <w:r w:rsidRPr="005B35A6">
        <w:rPr>
          <w:rFonts w:ascii="Arial" w:eastAsiaTheme="minorHAnsi" w:hAnsi="Arial" w:cs="Arial"/>
          <w:noProof/>
          <w:sz w:val="22"/>
          <w:szCs w:val="22"/>
        </w:rPr>
        <w:t xml:space="preserve">Das WBGcMTG01 ist mit Datenerfassungs- und Analysefunktionen eines klassischen Bediengerätes (z. B. Ereignislog, usw.) ausgestattet. Es kann die Datenübertragung (z. B. Rezeptdaten, usw.) zwischen Geräten nicht nur durchführen, sondern über ein laufendes Makro arithmetische und logische Operationen durchführen. So werden Rohdaten in wertvolle Informationen umgewandelt. Außerdem unterstützt das WBGcMTG01 einen Ereignisplaner, der in einem festgelegten Zeitintervall Ereignisse aufzeichnet. </w:t>
      </w:r>
    </w:p>
    <w:p w:rsidR="005B35A6" w:rsidRDefault="002A466B" w:rsidP="005B35A6">
      <w:pPr>
        <w:spacing w:after="160" w:line="259" w:lineRule="auto"/>
        <w:contextualSpacing/>
        <w:rPr>
          <w:rFonts w:ascii="Arial" w:eastAsiaTheme="minorHAnsi" w:hAnsi="Arial" w:cs="Arial"/>
          <w:b/>
          <w:noProof/>
          <w:color w:val="0070C0"/>
          <w:sz w:val="22"/>
          <w:szCs w:val="22"/>
        </w:rPr>
      </w:pPr>
      <w:r w:rsidRPr="005B35A6">
        <w:rPr>
          <w:rFonts w:ascii="Arial" w:eastAsia="Microsoft JhengHei" w:hAnsi="Arial" w:cs="Arial"/>
          <w:noProof/>
          <w:color w:val="404040"/>
          <w:sz w:val="22"/>
          <w:szCs w:val="22"/>
        </w:rPr>
        <w:drawing>
          <wp:inline distT="0" distB="0" distL="0" distR="0" wp14:anchorId="5CF1D9C3" wp14:editId="453C043B">
            <wp:extent cx="5419725" cy="2621048"/>
            <wp:effectExtent l="0" t="0" r="0" b="0"/>
            <wp:docPr id="5" name="Grafik 5" descr="描述: 描述: 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描述: 描述: A-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23036" cy="2622649"/>
                    </a:xfrm>
                    <a:prstGeom prst="rect">
                      <a:avLst/>
                    </a:prstGeom>
                    <a:noFill/>
                    <a:ln>
                      <a:noFill/>
                    </a:ln>
                  </pic:spPr>
                </pic:pic>
              </a:graphicData>
            </a:graphic>
          </wp:inline>
        </w:drawing>
      </w:r>
    </w:p>
    <w:p w:rsidR="001E56E0" w:rsidRDefault="001E56E0">
      <w:pPr>
        <w:rPr>
          <w:rFonts w:ascii="Arial" w:eastAsiaTheme="minorHAnsi" w:hAnsi="Arial" w:cs="Arial"/>
          <w:b/>
          <w:noProof/>
          <w:sz w:val="22"/>
          <w:szCs w:val="22"/>
        </w:rPr>
      </w:pPr>
      <w:r>
        <w:rPr>
          <w:rFonts w:ascii="Arial" w:eastAsiaTheme="minorHAnsi" w:hAnsi="Arial" w:cs="Arial"/>
          <w:b/>
          <w:noProof/>
          <w:sz w:val="22"/>
          <w:szCs w:val="22"/>
        </w:rPr>
        <w:br w:type="page"/>
      </w:r>
    </w:p>
    <w:p w:rsidR="001E56E0" w:rsidRDefault="001E56E0" w:rsidP="005B35A6">
      <w:pPr>
        <w:spacing w:after="160" w:line="259" w:lineRule="auto"/>
        <w:contextualSpacing/>
        <w:rPr>
          <w:rFonts w:ascii="Arial" w:eastAsiaTheme="minorHAnsi" w:hAnsi="Arial" w:cs="Arial"/>
          <w:b/>
          <w:noProof/>
          <w:sz w:val="22"/>
          <w:szCs w:val="22"/>
        </w:rPr>
      </w:pPr>
    </w:p>
    <w:p w:rsidR="002A466B" w:rsidRPr="005B35A6" w:rsidRDefault="002A466B" w:rsidP="005B35A6">
      <w:pPr>
        <w:spacing w:after="160" w:line="259" w:lineRule="auto"/>
        <w:contextualSpacing/>
        <w:rPr>
          <w:rFonts w:ascii="Arial" w:eastAsiaTheme="minorHAnsi" w:hAnsi="Arial" w:cs="Arial"/>
          <w:b/>
          <w:noProof/>
          <w:sz w:val="22"/>
          <w:szCs w:val="22"/>
        </w:rPr>
      </w:pPr>
      <w:r w:rsidRPr="005B35A6">
        <w:rPr>
          <w:rFonts w:ascii="Arial" w:eastAsiaTheme="minorHAnsi" w:hAnsi="Arial" w:cs="Arial"/>
          <w:b/>
          <w:noProof/>
          <w:sz w:val="22"/>
          <w:szCs w:val="22"/>
        </w:rPr>
        <w:t>Sichere Datenübertragung</w:t>
      </w:r>
    </w:p>
    <w:p w:rsidR="002A466B" w:rsidRPr="005B35A6" w:rsidRDefault="002A466B" w:rsidP="002A466B">
      <w:pPr>
        <w:spacing w:line="259" w:lineRule="auto"/>
        <w:rPr>
          <w:rFonts w:ascii="Arial" w:eastAsiaTheme="minorHAnsi" w:hAnsi="Arial" w:cs="Arial"/>
          <w:noProof/>
          <w:sz w:val="22"/>
          <w:szCs w:val="22"/>
        </w:rPr>
      </w:pPr>
      <w:r w:rsidRPr="005B35A6">
        <w:rPr>
          <w:rFonts w:ascii="Arial" w:eastAsiaTheme="minorHAnsi" w:hAnsi="Arial" w:cs="Arial"/>
          <w:noProof/>
          <w:sz w:val="22"/>
          <w:szCs w:val="22"/>
        </w:rPr>
        <w:t xml:space="preserve">Die beiden bedeutendsten IIoT -Protokolle MQTT und OPC UA sind Bestandteil des WGBcMTG01 und unterstützen die Sicherheitszertifikate TLS/SSL, die für eine sichere Datenübertragung von der Maschine bis zur Leitebene sorgen. </w:t>
      </w:r>
    </w:p>
    <w:p w:rsidR="002A466B" w:rsidRPr="005B35A6" w:rsidRDefault="002A466B" w:rsidP="002A466B">
      <w:pPr>
        <w:spacing w:after="160" w:line="259" w:lineRule="auto"/>
        <w:rPr>
          <w:rFonts w:ascii="Arial" w:eastAsiaTheme="minorHAnsi" w:hAnsi="Arial" w:cs="Arial"/>
          <w:noProof/>
          <w:sz w:val="22"/>
          <w:szCs w:val="22"/>
        </w:rPr>
      </w:pPr>
      <w:r w:rsidRPr="005B35A6">
        <w:rPr>
          <w:rFonts w:ascii="Arial" w:eastAsiaTheme="minorHAnsi" w:hAnsi="Arial" w:cs="Arial"/>
          <w:noProof/>
          <w:sz w:val="22"/>
          <w:szCs w:val="22"/>
        </w:rPr>
        <w:t>Weiterhin ermöglicht das WBGcMTG01 mit Hilfe des Service „EasyAccess 2.0“ einen Fernzugriff auf die angeschlossenen Geräte. Dieser wird über einen VPN-Tunnel, der ebenfalls das TLS/SLL- Verschlüsselungsverfahren nutzt, bereitgestellt. Somit sind die Datenintegrität und der Schutz vor Hackerangriffen gewährleistet.</w:t>
      </w:r>
    </w:p>
    <w:p w:rsidR="002A466B" w:rsidRPr="005B35A6" w:rsidRDefault="002A466B" w:rsidP="002A466B">
      <w:pPr>
        <w:spacing w:after="160" w:line="259" w:lineRule="auto"/>
        <w:rPr>
          <w:rFonts w:ascii="Arial" w:eastAsiaTheme="minorHAnsi" w:hAnsi="Arial" w:cs="Arial"/>
          <w:noProof/>
          <w:sz w:val="22"/>
          <w:szCs w:val="22"/>
        </w:rPr>
      </w:pPr>
      <w:r w:rsidRPr="005B35A6">
        <w:rPr>
          <w:rFonts w:ascii="Arial" w:eastAsia="Microsoft JhengHei" w:hAnsi="Arial" w:cs="Arial"/>
          <w:noProof/>
          <w:color w:val="404040"/>
          <w:sz w:val="22"/>
          <w:szCs w:val="22"/>
        </w:rPr>
        <w:drawing>
          <wp:inline distT="0" distB="0" distL="0" distR="0" wp14:anchorId="2A7B159D" wp14:editId="4EF8FB21">
            <wp:extent cx="3629025" cy="2420627"/>
            <wp:effectExtent l="0" t="0" r="0" b="0"/>
            <wp:docPr id="4" name="Grafik 4" descr="描述: 描述: 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描述: C-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66002" cy="2445291"/>
                    </a:xfrm>
                    <a:prstGeom prst="rect">
                      <a:avLst/>
                    </a:prstGeom>
                    <a:noFill/>
                    <a:ln>
                      <a:noFill/>
                    </a:ln>
                  </pic:spPr>
                </pic:pic>
              </a:graphicData>
            </a:graphic>
          </wp:inline>
        </w:drawing>
      </w:r>
    </w:p>
    <w:p w:rsidR="002A466B" w:rsidRPr="005B35A6" w:rsidRDefault="002A466B" w:rsidP="005B35A6">
      <w:pPr>
        <w:spacing w:after="160" w:line="259" w:lineRule="auto"/>
        <w:contextualSpacing/>
        <w:rPr>
          <w:rFonts w:ascii="Arial" w:eastAsiaTheme="minorHAnsi" w:hAnsi="Arial" w:cs="Arial"/>
          <w:b/>
          <w:noProof/>
          <w:sz w:val="22"/>
          <w:szCs w:val="22"/>
        </w:rPr>
      </w:pPr>
      <w:r w:rsidRPr="005B35A6">
        <w:rPr>
          <w:rFonts w:ascii="Arial" w:eastAsiaTheme="minorHAnsi" w:hAnsi="Arial" w:cs="Arial"/>
          <w:b/>
          <w:noProof/>
          <w:sz w:val="22"/>
          <w:szCs w:val="22"/>
        </w:rPr>
        <w:t>Echtzeit Ereignis-/Alarmmitteilungen</w:t>
      </w:r>
    </w:p>
    <w:p w:rsidR="002A466B" w:rsidRPr="005B35A6" w:rsidRDefault="002A466B" w:rsidP="002A466B">
      <w:pPr>
        <w:spacing w:after="160" w:line="259" w:lineRule="auto"/>
        <w:contextualSpacing/>
        <w:rPr>
          <w:rFonts w:ascii="Arial" w:eastAsiaTheme="minorHAnsi" w:hAnsi="Arial" w:cs="Arial"/>
          <w:noProof/>
          <w:sz w:val="22"/>
          <w:szCs w:val="22"/>
        </w:rPr>
      </w:pPr>
      <w:r w:rsidRPr="005B35A6">
        <w:rPr>
          <w:rFonts w:ascii="Arial" w:eastAsiaTheme="minorHAnsi" w:hAnsi="Arial" w:cs="Arial"/>
          <w:noProof/>
          <w:sz w:val="22"/>
          <w:szCs w:val="22"/>
        </w:rPr>
        <w:t xml:space="preserve">Das WBGcMTG01 ist in der Lage den Bediener über den Betriebsstatus der Maschine vor Ort zu informieren und nutzt die  MQTT „Publish Function“ um aktuelle Daten oder Nachrichten an wichtige Benutzer oder Benutzergruppen sofort zu übermitteln. Mit der EasyAcces 2.0 „Push Notification Function“ können dem Nutzer unmittelbar Änderungen des Betriebsstatus der Maschine vor Ort übermittelt werden. Dies ermöglicht im Fehlerfall ein schnelles Eingreifen und reduziert dadurch die Maschinenstandzeiten.  </w:t>
      </w:r>
    </w:p>
    <w:p w:rsidR="002A466B" w:rsidRPr="005B35A6" w:rsidRDefault="002A466B" w:rsidP="002A466B">
      <w:pPr>
        <w:spacing w:after="160" w:line="259" w:lineRule="auto"/>
        <w:contextualSpacing/>
        <w:rPr>
          <w:rFonts w:ascii="Arial" w:eastAsiaTheme="minorHAnsi" w:hAnsi="Arial" w:cs="Arial"/>
          <w:noProof/>
          <w:sz w:val="22"/>
          <w:szCs w:val="22"/>
        </w:rPr>
      </w:pPr>
      <w:r w:rsidRPr="005B35A6">
        <w:rPr>
          <w:rFonts w:ascii="Arial" w:eastAsia="Microsoft JhengHei" w:hAnsi="Arial" w:cs="Arial"/>
          <w:noProof/>
          <w:color w:val="404040"/>
          <w:sz w:val="22"/>
          <w:szCs w:val="22"/>
        </w:rPr>
        <w:drawing>
          <wp:inline distT="0" distB="0" distL="0" distR="0" wp14:anchorId="40C70BB0" wp14:editId="2F182B97">
            <wp:extent cx="3742666" cy="2833491"/>
            <wp:effectExtent l="0" t="0" r="0" b="0"/>
            <wp:docPr id="6" name="Grafik 6" descr="描述: 描述: 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描述: B-0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66355" cy="2851425"/>
                    </a:xfrm>
                    <a:prstGeom prst="rect">
                      <a:avLst/>
                    </a:prstGeom>
                    <a:noFill/>
                    <a:ln>
                      <a:noFill/>
                    </a:ln>
                  </pic:spPr>
                </pic:pic>
              </a:graphicData>
            </a:graphic>
          </wp:inline>
        </w:drawing>
      </w:r>
    </w:p>
    <w:p w:rsidR="005B35A6" w:rsidRDefault="005B35A6">
      <w:pPr>
        <w:rPr>
          <w:rFonts w:ascii="Arial" w:eastAsiaTheme="minorHAnsi" w:hAnsi="Arial" w:cs="Arial"/>
          <w:b/>
          <w:noProof/>
          <w:color w:val="0070C0"/>
          <w:sz w:val="22"/>
          <w:szCs w:val="22"/>
        </w:rPr>
      </w:pPr>
    </w:p>
    <w:p w:rsidR="001E56E0" w:rsidRDefault="001E56E0" w:rsidP="002A466B">
      <w:pPr>
        <w:spacing w:after="160" w:line="259" w:lineRule="auto"/>
        <w:rPr>
          <w:rFonts w:ascii="Arial" w:eastAsiaTheme="minorHAnsi" w:hAnsi="Arial" w:cs="Arial"/>
          <w:b/>
          <w:noProof/>
          <w:sz w:val="22"/>
          <w:szCs w:val="22"/>
        </w:rPr>
      </w:pPr>
    </w:p>
    <w:p w:rsidR="001E56E0" w:rsidRDefault="001E56E0" w:rsidP="002A466B">
      <w:pPr>
        <w:spacing w:after="160" w:line="259" w:lineRule="auto"/>
        <w:rPr>
          <w:rFonts w:ascii="Arial" w:eastAsiaTheme="minorHAnsi" w:hAnsi="Arial" w:cs="Arial"/>
          <w:b/>
          <w:noProof/>
          <w:sz w:val="22"/>
          <w:szCs w:val="22"/>
        </w:rPr>
      </w:pPr>
    </w:p>
    <w:p w:rsidR="002A466B" w:rsidRPr="005B35A6" w:rsidRDefault="002A466B" w:rsidP="002A466B">
      <w:pPr>
        <w:spacing w:after="160" w:line="259" w:lineRule="auto"/>
        <w:rPr>
          <w:rFonts w:ascii="Arial" w:eastAsiaTheme="minorHAnsi" w:hAnsi="Arial" w:cs="Arial"/>
          <w:b/>
          <w:noProof/>
          <w:sz w:val="22"/>
          <w:szCs w:val="22"/>
        </w:rPr>
      </w:pPr>
      <w:r w:rsidRPr="005B35A6">
        <w:rPr>
          <w:rFonts w:ascii="Arial" w:eastAsiaTheme="minorHAnsi" w:hAnsi="Arial" w:cs="Arial"/>
          <w:b/>
          <w:noProof/>
          <w:sz w:val="22"/>
          <w:szCs w:val="22"/>
        </w:rPr>
        <w:t>Ausstattungsmerkmale und Funktionen</w:t>
      </w:r>
    </w:p>
    <w:p w:rsidR="002A466B" w:rsidRPr="005B35A6" w:rsidRDefault="002A466B" w:rsidP="002A466B">
      <w:pPr>
        <w:numPr>
          <w:ilvl w:val="0"/>
          <w:numId w:val="5"/>
        </w:numPr>
        <w:spacing w:after="160" w:line="259" w:lineRule="auto"/>
        <w:ind w:left="0" w:firstLine="0"/>
        <w:contextualSpacing/>
        <w:rPr>
          <w:rFonts w:ascii="Arial" w:eastAsiaTheme="minorHAnsi" w:hAnsi="Arial" w:cs="Arial"/>
          <w:b/>
          <w:noProof/>
          <w:sz w:val="22"/>
          <w:szCs w:val="22"/>
        </w:rPr>
      </w:pPr>
      <w:r w:rsidRPr="005B35A6">
        <w:rPr>
          <w:rFonts w:ascii="Arial" w:eastAsiaTheme="minorHAnsi" w:hAnsi="Arial" w:cs="Arial"/>
          <w:b/>
          <w:noProof/>
          <w:sz w:val="22"/>
          <w:szCs w:val="22"/>
        </w:rPr>
        <w:t>Hohe Leistung auf kleinstem Raum</w:t>
      </w:r>
    </w:p>
    <w:p w:rsidR="002A466B" w:rsidRPr="005B35A6" w:rsidRDefault="002A466B" w:rsidP="002A466B">
      <w:pPr>
        <w:spacing w:after="160" w:line="259" w:lineRule="auto"/>
        <w:contextualSpacing/>
        <w:rPr>
          <w:rFonts w:ascii="Arial" w:eastAsiaTheme="minorHAnsi" w:hAnsi="Arial" w:cs="Arial"/>
          <w:noProof/>
          <w:sz w:val="22"/>
          <w:szCs w:val="22"/>
        </w:rPr>
      </w:pPr>
      <w:r w:rsidRPr="005B35A6">
        <w:rPr>
          <w:rFonts w:ascii="Arial" w:eastAsiaTheme="minorHAnsi" w:hAnsi="Arial" w:cs="Arial"/>
          <w:noProof/>
          <w:sz w:val="22"/>
          <w:szCs w:val="22"/>
        </w:rPr>
        <w:t xml:space="preserve">Ausgestattet mit einer RISC-basierendem Cortex-A8 600 MHz CPU. </w:t>
      </w:r>
      <w:r w:rsidRPr="005B35A6">
        <w:rPr>
          <w:rFonts w:ascii="Arial" w:eastAsiaTheme="minorHAnsi" w:hAnsi="Arial" w:cs="Arial"/>
          <w:noProof/>
          <w:sz w:val="22"/>
          <w:szCs w:val="22"/>
        </w:rPr>
        <w:br/>
        <w:t>Das WBGcMTG01 ist sehr kompakt und energieeffizient.</w:t>
      </w:r>
      <w:r w:rsidRPr="005B35A6">
        <w:rPr>
          <w:rFonts w:ascii="Arial" w:eastAsiaTheme="minorHAnsi" w:hAnsi="Arial" w:cs="Arial"/>
          <w:noProof/>
          <w:sz w:val="22"/>
          <w:szCs w:val="22"/>
        </w:rPr>
        <w:br/>
        <w:t>Es besitzt eine Vielzahl von Kommunikationsschnittstellen: Gigabit Ethernet Port und RS-232 / RS-485 Seriell Port, und entspricht somit den unterschiedlichsten Anwendungsanforderungen.</w:t>
      </w:r>
    </w:p>
    <w:p w:rsidR="002A466B" w:rsidRPr="005B35A6" w:rsidRDefault="002A466B" w:rsidP="002A466B">
      <w:pPr>
        <w:spacing w:after="160" w:line="259" w:lineRule="auto"/>
        <w:contextualSpacing/>
        <w:rPr>
          <w:rFonts w:ascii="Arial" w:eastAsiaTheme="minorHAnsi" w:hAnsi="Arial" w:cs="Arial"/>
          <w:noProof/>
          <w:sz w:val="22"/>
          <w:szCs w:val="22"/>
        </w:rPr>
      </w:pPr>
    </w:p>
    <w:p w:rsidR="002A466B" w:rsidRPr="005B35A6" w:rsidRDefault="002A466B" w:rsidP="002A466B">
      <w:pPr>
        <w:numPr>
          <w:ilvl w:val="0"/>
          <w:numId w:val="5"/>
        </w:numPr>
        <w:spacing w:after="160" w:line="259" w:lineRule="auto"/>
        <w:ind w:left="0" w:firstLine="0"/>
        <w:contextualSpacing/>
        <w:rPr>
          <w:rFonts w:ascii="Arial" w:eastAsiaTheme="minorHAnsi" w:hAnsi="Arial" w:cs="Arial"/>
          <w:b/>
          <w:noProof/>
          <w:sz w:val="22"/>
          <w:szCs w:val="22"/>
        </w:rPr>
      </w:pPr>
      <w:r w:rsidRPr="005B35A6">
        <w:rPr>
          <w:rFonts w:ascii="Arial" w:eastAsiaTheme="minorHAnsi" w:hAnsi="Arial" w:cs="Arial"/>
          <w:b/>
          <w:noProof/>
          <w:sz w:val="22"/>
          <w:szCs w:val="22"/>
        </w:rPr>
        <w:t>Fernzugriff</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r w:rsidRPr="005B35A6">
        <w:rPr>
          <w:rFonts w:ascii="Arial" w:eastAsiaTheme="minorHAnsi" w:hAnsi="Arial" w:cs="Arial"/>
          <w:noProof/>
          <w:sz w:val="22"/>
          <w:szCs w:val="22"/>
        </w:rPr>
        <w:t>Das WBGcMTG01 unterstützt den Fernzugriff über „EasyAccess 2.0“.</w:t>
      </w:r>
      <w:r w:rsidRPr="005B35A6">
        <w:rPr>
          <w:rFonts w:ascii="Arial" w:eastAsiaTheme="minorHAnsi" w:hAnsi="Arial" w:cs="Arial"/>
          <w:noProof/>
          <w:sz w:val="22"/>
          <w:szCs w:val="22"/>
        </w:rPr>
        <w:br/>
        <w:t>Bediener können über das in der Fabrik installierte Kommunikationsgateway WGBcMTG01 von überall zugreifen und erhalten den aktuellen Betriebsstatus der angeschlossenen Steuerung(-en) und der Maschine(-n).</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p>
    <w:p w:rsidR="002A466B" w:rsidRPr="005B35A6" w:rsidRDefault="002A466B" w:rsidP="002A466B">
      <w:pPr>
        <w:numPr>
          <w:ilvl w:val="0"/>
          <w:numId w:val="5"/>
        </w:numPr>
        <w:spacing w:after="160" w:line="259" w:lineRule="auto"/>
        <w:ind w:left="0" w:firstLine="0"/>
        <w:contextualSpacing/>
        <w:rPr>
          <w:rFonts w:ascii="Arial" w:eastAsiaTheme="minorHAnsi" w:hAnsi="Arial" w:cs="Arial"/>
          <w:b/>
          <w:noProof/>
          <w:sz w:val="22"/>
          <w:szCs w:val="22"/>
        </w:rPr>
      </w:pPr>
      <w:r w:rsidRPr="005B35A6">
        <w:rPr>
          <w:rFonts w:ascii="Arial" w:eastAsiaTheme="minorHAnsi" w:hAnsi="Arial" w:cs="Arial"/>
          <w:b/>
          <w:noProof/>
          <w:sz w:val="22"/>
          <w:szCs w:val="22"/>
        </w:rPr>
        <w:t>Universal Protokoll Gateways</w:t>
      </w:r>
    </w:p>
    <w:p w:rsidR="002A466B" w:rsidRPr="005B35A6" w:rsidRDefault="002A466B" w:rsidP="002A466B">
      <w:pPr>
        <w:spacing w:after="160" w:line="259" w:lineRule="auto"/>
        <w:contextualSpacing/>
        <w:rPr>
          <w:rFonts w:ascii="Arial" w:eastAsiaTheme="minorHAnsi" w:hAnsi="Arial" w:cs="Arial"/>
          <w:noProof/>
          <w:sz w:val="22"/>
          <w:szCs w:val="22"/>
        </w:rPr>
      </w:pPr>
      <w:r w:rsidRPr="005B35A6">
        <w:rPr>
          <w:rFonts w:ascii="Arial" w:eastAsiaTheme="minorHAnsi" w:hAnsi="Arial" w:cs="Arial"/>
          <w:noProof/>
          <w:sz w:val="22"/>
          <w:szCs w:val="22"/>
        </w:rPr>
        <w:t>Das WBGcMTG01 unterstützt das Modbus-Protokoll und die Protokollwandlung zu übergeordneten Managementsystemen sowie den einfachen Zugriff über Modbus TCP/IP auf alle angeschlossenen Steuerungen.</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r w:rsidRPr="005B35A6">
        <w:rPr>
          <w:rFonts w:ascii="Arial" w:eastAsiaTheme="minorHAnsi" w:hAnsi="Arial" w:cs="Arial"/>
          <w:noProof/>
          <w:sz w:val="22"/>
          <w:szCs w:val="22"/>
        </w:rPr>
        <w:t>Der integrierte MQTT-Server/Client und der OPC UA-Server ermöglichen eine leichte Integration unterschiedlichster Geräte (Steuerung, Frequenzumrichter, intelligente Sensorik, usw.) und erleichtern die Datenübertragung auf übergeordnete SCADA- oder ERP-Systeme.</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p>
    <w:p w:rsidR="002A466B" w:rsidRPr="005B35A6" w:rsidRDefault="002A466B" w:rsidP="002A466B">
      <w:pPr>
        <w:numPr>
          <w:ilvl w:val="0"/>
          <w:numId w:val="5"/>
        </w:numPr>
        <w:spacing w:after="160" w:line="259" w:lineRule="auto"/>
        <w:ind w:left="0" w:firstLine="0"/>
        <w:contextualSpacing/>
        <w:rPr>
          <w:rFonts w:ascii="Arial" w:eastAsiaTheme="minorHAnsi" w:hAnsi="Arial" w:cs="Arial"/>
          <w:b/>
          <w:noProof/>
          <w:sz w:val="22"/>
          <w:szCs w:val="22"/>
        </w:rPr>
      </w:pPr>
      <w:r w:rsidRPr="005B35A6">
        <w:rPr>
          <w:rFonts w:ascii="Arial" w:eastAsiaTheme="minorHAnsi" w:hAnsi="Arial" w:cs="Arial"/>
          <w:b/>
          <w:noProof/>
          <w:sz w:val="22"/>
          <w:szCs w:val="22"/>
        </w:rPr>
        <w:t>Benutzerdefinierte Makros</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r w:rsidRPr="005B35A6">
        <w:rPr>
          <w:rFonts w:ascii="Arial" w:eastAsiaTheme="minorHAnsi" w:hAnsi="Arial" w:cs="Arial"/>
          <w:noProof/>
          <w:sz w:val="22"/>
          <w:szCs w:val="22"/>
        </w:rPr>
        <w:t>Auf dem WBGcMTG01 laufen benutzerdefinierte Makros, die logische/arithmetische</w:t>
      </w:r>
      <w:r w:rsidRPr="005B35A6">
        <w:rPr>
          <w:rFonts w:ascii="Arial" w:eastAsia="Microsoft JhengHei" w:hAnsi="Arial" w:cs="Arial"/>
          <w:color w:val="404040"/>
          <w:sz w:val="22"/>
          <w:szCs w:val="22"/>
          <w:lang w:eastAsia="en-US"/>
        </w:rPr>
        <w:t xml:space="preserve"> </w:t>
      </w:r>
      <w:r w:rsidRPr="005B35A6">
        <w:rPr>
          <w:rFonts w:ascii="Arial" w:eastAsiaTheme="minorHAnsi" w:hAnsi="Arial" w:cs="Arial"/>
          <w:noProof/>
          <w:sz w:val="22"/>
          <w:szCs w:val="22"/>
        </w:rPr>
        <w:t>Operationen und die Verarbeitung von Systemvariablen durchführen können. Dies befähigt den Bediener jeder Zeit den aktuellen Betriebsstatus seiner Maschinen/Anlagen abzurufen.</w:t>
      </w:r>
      <w:r w:rsidRPr="005B35A6">
        <w:rPr>
          <w:rFonts w:ascii="Arial" w:eastAsiaTheme="minorHAnsi" w:hAnsi="Arial" w:cs="Arial"/>
          <w:noProof/>
          <w:sz w:val="22"/>
          <w:szCs w:val="22"/>
        </w:rPr>
        <w:br/>
        <w:t>Weiterhin unterstützen die Makros die automatische Wandlung von Variablenwerte zur Skalierung, Kalkulation oder Konvertierung von linearen/nicht linearen Daten in aussagefähige Daten.</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p>
    <w:p w:rsidR="002A466B" w:rsidRPr="005B35A6" w:rsidRDefault="002A466B" w:rsidP="002A466B">
      <w:pPr>
        <w:numPr>
          <w:ilvl w:val="0"/>
          <w:numId w:val="5"/>
        </w:numPr>
        <w:spacing w:after="160" w:line="259" w:lineRule="auto"/>
        <w:ind w:left="0" w:firstLine="0"/>
        <w:contextualSpacing/>
        <w:rPr>
          <w:rFonts w:ascii="Arial" w:eastAsiaTheme="minorHAnsi" w:hAnsi="Arial" w:cs="Arial"/>
          <w:b/>
          <w:noProof/>
          <w:sz w:val="22"/>
          <w:szCs w:val="22"/>
        </w:rPr>
      </w:pPr>
      <w:r w:rsidRPr="005B35A6">
        <w:rPr>
          <w:rFonts w:ascii="Arial" w:eastAsiaTheme="minorHAnsi" w:hAnsi="Arial" w:cs="Arial"/>
          <w:b/>
          <w:noProof/>
          <w:sz w:val="22"/>
          <w:szCs w:val="22"/>
        </w:rPr>
        <w:t>Aktualisierug von existierenden Geräten zur Anbindung an IIoT</w:t>
      </w:r>
    </w:p>
    <w:p w:rsidR="002A466B" w:rsidRPr="005B35A6" w:rsidRDefault="002A466B" w:rsidP="002A466B">
      <w:pPr>
        <w:spacing w:after="160" w:line="259" w:lineRule="auto"/>
        <w:contextualSpacing/>
        <w:rPr>
          <w:rFonts w:ascii="Arial" w:eastAsiaTheme="minorHAnsi" w:hAnsi="Arial" w:cs="Arial"/>
          <w:b/>
          <w:noProof/>
          <w:color w:val="0070C0"/>
          <w:sz w:val="22"/>
          <w:szCs w:val="22"/>
        </w:rPr>
      </w:pPr>
      <w:r w:rsidRPr="005B35A6">
        <w:rPr>
          <w:rFonts w:ascii="Arial" w:eastAsiaTheme="minorHAnsi" w:hAnsi="Arial" w:cs="Arial"/>
          <w:noProof/>
          <w:sz w:val="22"/>
          <w:szCs w:val="22"/>
        </w:rPr>
        <w:t>Im Zuge von Retrofit-Maßnahmen kann das WBGcMTG01 mithilfe der Protokolle MQTT oder OPC UA alle an der Maschine/Anlage entstehenden Daten an die übergeordnete Leitebene übermitteln und dort SCADA oder ERP-Systemen zur Verfügung stellen. Damit kann der kostenintensive Austausch von Automatisierungskompomenten (wie z. B. Steuerungen, Frequenzumrichter, …) entfallen.</w:t>
      </w:r>
    </w:p>
    <w:p w:rsidR="00CA5595" w:rsidRPr="005B35A6" w:rsidRDefault="00CA5595" w:rsidP="00362852">
      <w:pPr>
        <w:spacing w:line="320" w:lineRule="exact"/>
        <w:rPr>
          <w:rFonts w:ascii="Arial" w:eastAsiaTheme="minorHAnsi" w:hAnsi="Arial" w:cs="Arial"/>
          <w:sz w:val="22"/>
          <w:szCs w:val="22"/>
          <w:lang w:eastAsia="en-US"/>
        </w:rPr>
      </w:pPr>
      <w:r w:rsidRPr="005B35A6">
        <w:rPr>
          <w:rFonts w:ascii="Arial" w:eastAsiaTheme="minorHAnsi" w:hAnsi="Arial" w:cs="Arial"/>
          <w:sz w:val="22"/>
          <w:szCs w:val="22"/>
          <w:lang w:eastAsia="en-US"/>
        </w:rPr>
        <w:br/>
      </w:r>
      <w:r w:rsidR="005B35A6">
        <w:rPr>
          <w:rFonts w:ascii="Arial" w:eastAsiaTheme="minorHAnsi" w:hAnsi="Arial" w:cs="Arial"/>
          <w:sz w:val="22"/>
          <w:szCs w:val="22"/>
          <w:lang w:eastAsia="en-US"/>
        </w:rPr>
        <w:t xml:space="preserve">Mehr Informationen: </w:t>
      </w:r>
      <w:hyperlink r:id="rId16" w:history="1">
        <w:r w:rsidR="005B35A6" w:rsidRPr="003C6892">
          <w:rPr>
            <w:rStyle w:val="Hyperlink"/>
            <w:rFonts w:ascii="Arial" w:eastAsiaTheme="minorHAnsi" w:hAnsi="Arial" w:cs="Arial"/>
            <w:sz w:val="22"/>
            <w:szCs w:val="22"/>
            <w:lang w:eastAsia="en-US"/>
          </w:rPr>
          <w:t>http://www.wachendorff-prozesstechnik.de/bub</w:t>
        </w:r>
      </w:hyperlink>
    </w:p>
    <w:p w:rsidR="00362852" w:rsidRPr="005B35A6" w:rsidRDefault="00CA5595" w:rsidP="00362852">
      <w:pPr>
        <w:spacing w:line="320" w:lineRule="exact"/>
        <w:rPr>
          <w:rFonts w:ascii="Arial" w:eastAsiaTheme="minorHAnsi" w:hAnsi="Arial" w:cs="Arial"/>
          <w:b/>
          <w:sz w:val="22"/>
          <w:szCs w:val="22"/>
          <w:lang w:eastAsia="en-US"/>
        </w:rPr>
      </w:pPr>
      <w:r w:rsidRPr="005B35A6">
        <w:rPr>
          <w:rFonts w:ascii="Arial" w:eastAsiaTheme="minorHAnsi" w:hAnsi="Arial" w:cs="Arial"/>
          <w:sz w:val="22"/>
          <w:szCs w:val="22"/>
          <w:lang w:eastAsia="en-US"/>
        </w:rPr>
        <w:br/>
      </w:r>
      <w:r w:rsidR="00362852" w:rsidRPr="005B35A6">
        <w:rPr>
          <w:rFonts w:ascii="Arial" w:eastAsiaTheme="minorHAnsi" w:hAnsi="Arial" w:cs="Arial"/>
          <w:b/>
          <w:sz w:val="22"/>
          <w:szCs w:val="22"/>
          <w:lang w:eastAsia="en-US"/>
        </w:rPr>
        <w:t>Bildmaterial</w:t>
      </w:r>
      <w:r w:rsidR="004B716D" w:rsidRPr="005B35A6">
        <w:rPr>
          <w:rFonts w:ascii="Arial" w:eastAsiaTheme="minorHAnsi" w:hAnsi="Arial" w:cs="Arial"/>
          <w:b/>
          <w:sz w:val="22"/>
          <w:szCs w:val="22"/>
          <w:lang w:eastAsia="en-US"/>
        </w:rPr>
        <w:t xml:space="preserve"> (Wachendorff</w:t>
      </w:r>
      <w:r w:rsidR="008B1FC1" w:rsidRPr="005B35A6">
        <w:rPr>
          <w:rFonts w:ascii="Arial" w:eastAsiaTheme="minorHAnsi" w:hAnsi="Arial" w:cs="Arial"/>
          <w:b/>
          <w:sz w:val="22"/>
          <w:szCs w:val="22"/>
          <w:lang w:eastAsia="en-US"/>
        </w:rPr>
        <w:t xml:space="preserve"> Prozesstechnik GmbH &amp; Co. KG</w:t>
      </w:r>
      <w:r w:rsidR="004B716D" w:rsidRPr="005B35A6">
        <w:rPr>
          <w:rFonts w:ascii="Arial" w:eastAsiaTheme="minorHAnsi" w:hAnsi="Arial" w:cs="Arial"/>
          <w:b/>
          <w:sz w:val="22"/>
          <w:szCs w:val="22"/>
          <w:lang w:eastAsia="en-US"/>
        </w:rPr>
        <w:t>)</w:t>
      </w:r>
      <w:r w:rsidR="00362852" w:rsidRPr="005B35A6">
        <w:rPr>
          <w:rFonts w:ascii="Arial" w:eastAsiaTheme="minorHAnsi" w:hAnsi="Arial" w:cs="Arial"/>
          <w:b/>
          <w:sz w:val="22"/>
          <w:szCs w:val="22"/>
          <w:lang w:eastAsia="en-US"/>
        </w:rPr>
        <w:t>:</w:t>
      </w:r>
    </w:p>
    <w:p w:rsidR="00660AE7" w:rsidRPr="005B35A6" w:rsidRDefault="005B35A6" w:rsidP="00C917AF">
      <w:pPr>
        <w:spacing w:line="320" w:lineRule="exact"/>
        <w:rPr>
          <w:rFonts w:ascii="Arial" w:eastAsiaTheme="minorHAnsi" w:hAnsi="Arial" w:cs="Arial"/>
          <w:sz w:val="22"/>
          <w:szCs w:val="22"/>
          <w:lang w:eastAsia="en-US"/>
        </w:rPr>
      </w:pPr>
      <w:r>
        <w:rPr>
          <w:rFonts w:ascii="Arial" w:eastAsiaTheme="minorHAnsi" w:hAnsi="Arial" w:cs="Arial"/>
          <w:sz w:val="22"/>
          <w:szCs w:val="22"/>
          <w:lang w:eastAsia="en-US"/>
        </w:rPr>
        <w:t>Bitte sprechen Sie Dirk Rott (</w:t>
      </w:r>
      <w:hyperlink r:id="rId17" w:history="1">
        <w:r w:rsidRPr="003C6892">
          <w:rPr>
            <w:rStyle w:val="Hyperlink"/>
            <w:rFonts w:ascii="Arial" w:eastAsiaTheme="minorHAnsi" w:hAnsi="Arial" w:cs="Arial"/>
            <w:sz w:val="22"/>
            <w:szCs w:val="22"/>
            <w:lang w:eastAsia="en-US"/>
          </w:rPr>
          <w:t>dro@wachendorff.de</w:t>
        </w:r>
      </w:hyperlink>
      <w:r>
        <w:rPr>
          <w:rFonts w:ascii="Arial" w:eastAsiaTheme="minorHAnsi" w:hAnsi="Arial" w:cs="Arial"/>
          <w:sz w:val="22"/>
          <w:szCs w:val="22"/>
          <w:lang w:eastAsia="en-US"/>
        </w:rPr>
        <w:t>, Telefon: 06722/9965-120) gezielt an.</w:t>
      </w:r>
      <w:r>
        <w:rPr>
          <w:rFonts w:ascii="Arial" w:eastAsiaTheme="minorHAnsi" w:hAnsi="Arial" w:cs="Arial"/>
          <w:sz w:val="22"/>
          <w:szCs w:val="22"/>
          <w:lang w:eastAsia="en-US"/>
        </w:rPr>
        <w:br/>
        <w:t xml:space="preserve">Gerne übermitteln wir Ihnen das gewünschte Bildmaterial zeitnah im bevorzugten Dateiformat und in erforderlicher Auflösung. </w:t>
      </w:r>
      <w:r w:rsidR="00336275" w:rsidRPr="005B35A6">
        <w:rPr>
          <w:rFonts w:ascii="Arial" w:eastAsiaTheme="minorHAnsi" w:hAnsi="Arial" w:cs="Arial"/>
          <w:sz w:val="22"/>
          <w:szCs w:val="22"/>
          <w:lang w:eastAsia="en-US"/>
        </w:rPr>
        <w:t xml:space="preserve">                                                </w:t>
      </w:r>
    </w:p>
    <w:sectPr w:rsidR="00660AE7" w:rsidRPr="005B35A6" w:rsidSect="0019243F">
      <w:headerReference w:type="default" r:id="rId18"/>
      <w:footerReference w:type="default" r:id="rId19"/>
      <w:headerReference w:type="first" r:id="rId20"/>
      <w:footerReference w:type="first" r:id="rId21"/>
      <w:pgSz w:w="11906" w:h="16838" w:code="9"/>
      <w:pgMar w:top="851" w:right="626" w:bottom="426" w:left="1276" w:header="0" w:footer="4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C7" w:rsidRPr="005067C7" w:rsidRDefault="005067C7" w:rsidP="005067C7">
    <w:pPr>
      <w:pStyle w:val="Fuzeile"/>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0" w:rsidRPr="001E56E0" w:rsidRDefault="001E56E0">
    <w:pPr>
      <w:pStyle w:val="Fuzeile"/>
      <w:rPr>
        <w:rFonts w:ascii="Arial" w:hAnsi="Arial" w:cs="Arial"/>
        <w:sz w:val="22"/>
        <w:szCs w:val="22"/>
      </w:rPr>
    </w:pP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8"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rPr>
      <w:t>Tel.: +49 (0) 67 22 / 99 65 - 20</w:t>
    </w:r>
  </w:p>
  <w:p w:rsidR="002D3754" w:rsidRDefault="002D3754">
    <w:pPr>
      <w:pStyle w:val="Kopfzeile"/>
      <w:tabs>
        <w:tab w:val="clear" w:pos="9072"/>
        <w:tab w:val="left" w:pos="5812"/>
        <w:tab w:val="left" w:pos="6237"/>
        <w:tab w:val="right" w:pos="9214"/>
      </w:tabs>
      <w:ind w:left="6237" w:right="-286"/>
      <w:rPr>
        <w:rFonts w:ascii="Arial" w:hAnsi="Arial" w:cs="Arial"/>
        <w:lang w:val="fr-FR"/>
      </w:rPr>
    </w:pPr>
    <w:r>
      <w:rPr>
        <w:rFonts w:ascii="Arial" w:hAnsi="Arial" w:cs="Arial"/>
        <w:lang w:val="fr-FR"/>
      </w:rPr>
      <w:t>Fax: +49 (0) 67 22 / 99 65 - 78</w:t>
    </w:r>
  </w:p>
  <w:p w:rsidR="002D3754" w:rsidRDefault="002D3754">
    <w:pPr>
      <w:pStyle w:val="Kopfzeile"/>
      <w:tabs>
        <w:tab w:val="left" w:pos="5812"/>
        <w:tab w:val="left" w:pos="6237"/>
      </w:tabs>
      <w:ind w:left="6237"/>
      <w:rPr>
        <w:rFonts w:ascii="Arial" w:hAnsi="Arial" w:cs="Arial"/>
        <w:lang w:val="fr-FR"/>
      </w:rPr>
    </w:pPr>
  </w:p>
  <w:p w:rsidR="002D3754" w:rsidRDefault="002D375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9"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www.wachendorff-prozesstechnik.de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53649"/>
    <w:multiLevelType w:val="hybridMultilevel"/>
    <w:tmpl w:val="B14401CA"/>
    <w:lvl w:ilvl="0" w:tplc="F55674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1426DA"/>
    <w:multiLevelType w:val="hybridMultilevel"/>
    <w:tmpl w:val="6CB491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7DB54E75"/>
    <w:multiLevelType w:val="hybridMultilevel"/>
    <w:tmpl w:val="03D4276A"/>
    <w:lvl w:ilvl="0" w:tplc="88328E22">
      <w:start w:val="12"/>
      <w:numFmt w:val="bullet"/>
      <w:lvlText w:val="•"/>
      <w:lvlJc w:val="left"/>
      <w:pPr>
        <w:ind w:left="720" w:hanging="360"/>
      </w:pPr>
      <w:rPr>
        <w:rFonts w:ascii="Arial" w:eastAsiaTheme="minorHAns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53DF4"/>
    <w:rsid w:val="000821F5"/>
    <w:rsid w:val="00087CF6"/>
    <w:rsid w:val="00092943"/>
    <w:rsid w:val="00097186"/>
    <w:rsid w:val="000A7E7C"/>
    <w:rsid w:val="000D5072"/>
    <w:rsid w:val="00102AE2"/>
    <w:rsid w:val="00130578"/>
    <w:rsid w:val="001459EC"/>
    <w:rsid w:val="00147A7E"/>
    <w:rsid w:val="00151877"/>
    <w:rsid w:val="00164B98"/>
    <w:rsid w:val="00174F32"/>
    <w:rsid w:val="00182C73"/>
    <w:rsid w:val="0019243F"/>
    <w:rsid w:val="001A2183"/>
    <w:rsid w:val="001A5236"/>
    <w:rsid w:val="001A7735"/>
    <w:rsid w:val="001B384E"/>
    <w:rsid w:val="001E56E0"/>
    <w:rsid w:val="00225150"/>
    <w:rsid w:val="00242856"/>
    <w:rsid w:val="002531BC"/>
    <w:rsid w:val="002551D6"/>
    <w:rsid w:val="002908C3"/>
    <w:rsid w:val="002A466B"/>
    <w:rsid w:val="002D3754"/>
    <w:rsid w:val="00321F3C"/>
    <w:rsid w:val="00326B9A"/>
    <w:rsid w:val="003277FC"/>
    <w:rsid w:val="00330CB0"/>
    <w:rsid w:val="003336F4"/>
    <w:rsid w:val="00336275"/>
    <w:rsid w:val="00351F0B"/>
    <w:rsid w:val="00362852"/>
    <w:rsid w:val="00366A13"/>
    <w:rsid w:val="00385F0B"/>
    <w:rsid w:val="003C2732"/>
    <w:rsid w:val="004029E9"/>
    <w:rsid w:val="0043771A"/>
    <w:rsid w:val="00441D2E"/>
    <w:rsid w:val="00490648"/>
    <w:rsid w:val="004914D2"/>
    <w:rsid w:val="004A5927"/>
    <w:rsid w:val="004B716D"/>
    <w:rsid w:val="005067C7"/>
    <w:rsid w:val="00543B46"/>
    <w:rsid w:val="005546C9"/>
    <w:rsid w:val="00554E98"/>
    <w:rsid w:val="00566DD2"/>
    <w:rsid w:val="005760FC"/>
    <w:rsid w:val="00581AAB"/>
    <w:rsid w:val="00590B5A"/>
    <w:rsid w:val="005B35A6"/>
    <w:rsid w:val="005B6F1A"/>
    <w:rsid w:val="005C3A1B"/>
    <w:rsid w:val="00615245"/>
    <w:rsid w:val="00660AE7"/>
    <w:rsid w:val="006672A8"/>
    <w:rsid w:val="0067749D"/>
    <w:rsid w:val="00692988"/>
    <w:rsid w:val="006A0A6E"/>
    <w:rsid w:val="006A470E"/>
    <w:rsid w:val="006F2E0F"/>
    <w:rsid w:val="00715A33"/>
    <w:rsid w:val="007315C1"/>
    <w:rsid w:val="00736B3C"/>
    <w:rsid w:val="00743E1F"/>
    <w:rsid w:val="00745147"/>
    <w:rsid w:val="00797F1F"/>
    <w:rsid w:val="007A5DAF"/>
    <w:rsid w:val="007B0B7C"/>
    <w:rsid w:val="00803743"/>
    <w:rsid w:val="00817AFA"/>
    <w:rsid w:val="00833E65"/>
    <w:rsid w:val="00865A7E"/>
    <w:rsid w:val="008828CE"/>
    <w:rsid w:val="0089091F"/>
    <w:rsid w:val="008915B9"/>
    <w:rsid w:val="008B1FC1"/>
    <w:rsid w:val="008D1983"/>
    <w:rsid w:val="008F5CD7"/>
    <w:rsid w:val="00933F8C"/>
    <w:rsid w:val="009624E7"/>
    <w:rsid w:val="00987433"/>
    <w:rsid w:val="00995A22"/>
    <w:rsid w:val="009B24CA"/>
    <w:rsid w:val="009C4B62"/>
    <w:rsid w:val="009E3AE7"/>
    <w:rsid w:val="009F6B99"/>
    <w:rsid w:val="009F7CE9"/>
    <w:rsid w:val="00A15CC9"/>
    <w:rsid w:val="00A170E7"/>
    <w:rsid w:val="00A21BFC"/>
    <w:rsid w:val="00A549E9"/>
    <w:rsid w:val="00A84C9D"/>
    <w:rsid w:val="00A91B96"/>
    <w:rsid w:val="00AB2016"/>
    <w:rsid w:val="00AB40CC"/>
    <w:rsid w:val="00AC7380"/>
    <w:rsid w:val="00AE43F0"/>
    <w:rsid w:val="00B34085"/>
    <w:rsid w:val="00B3624A"/>
    <w:rsid w:val="00B4343D"/>
    <w:rsid w:val="00B577E3"/>
    <w:rsid w:val="00B70294"/>
    <w:rsid w:val="00BB523A"/>
    <w:rsid w:val="00BC5960"/>
    <w:rsid w:val="00BC7C74"/>
    <w:rsid w:val="00BD65AA"/>
    <w:rsid w:val="00BE460E"/>
    <w:rsid w:val="00C00C09"/>
    <w:rsid w:val="00C01784"/>
    <w:rsid w:val="00C05D99"/>
    <w:rsid w:val="00C2138D"/>
    <w:rsid w:val="00C4019A"/>
    <w:rsid w:val="00C642C9"/>
    <w:rsid w:val="00C917AF"/>
    <w:rsid w:val="00C9587D"/>
    <w:rsid w:val="00CA5595"/>
    <w:rsid w:val="00CE1855"/>
    <w:rsid w:val="00CE60F9"/>
    <w:rsid w:val="00CF1E1B"/>
    <w:rsid w:val="00D0278A"/>
    <w:rsid w:val="00D100A4"/>
    <w:rsid w:val="00D26127"/>
    <w:rsid w:val="00D5140D"/>
    <w:rsid w:val="00D82B5B"/>
    <w:rsid w:val="00DB2C4F"/>
    <w:rsid w:val="00DB56D9"/>
    <w:rsid w:val="00DC0C43"/>
    <w:rsid w:val="00DC3876"/>
    <w:rsid w:val="00DC7020"/>
    <w:rsid w:val="00DF04A8"/>
    <w:rsid w:val="00E401CE"/>
    <w:rsid w:val="00E42CF2"/>
    <w:rsid w:val="00E571DD"/>
    <w:rsid w:val="00EA3BD8"/>
    <w:rsid w:val="00EA45EA"/>
    <w:rsid w:val="00EB5E8E"/>
    <w:rsid w:val="00ED4E2A"/>
    <w:rsid w:val="00FA4AAD"/>
    <w:rsid w:val="00FC68EE"/>
    <w:rsid w:val="00FE0A50"/>
    <w:rsid w:val="00FE6DAA"/>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A8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3.png@01D276F7.1BB1C3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dro@wachendorff.de" TargetMode="External"/><Relationship Id="rId2" Type="http://schemas.openxmlformats.org/officeDocument/2006/relationships/styles" Target="styles.xml"/><Relationship Id="rId16" Type="http://schemas.openxmlformats.org/officeDocument/2006/relationships/hyperlink" Target="http://www.wachendorff-prozesstechnik.de/bub"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2.png@01D276F7.1BB1C300" TargetMode="External"/><Relationship Id="rId5" Type="http://schemas.openxmlformats.org/officeDocument/2006/relationships/footnotes" Target="footnotes.xml"/><Relationship Id="rId15" Type="http://schemas.openxmlformats.org/officeDocument/2006/relationships/image" Target="cid:image014.png@01D276F7.1BB1C30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11.png@01D276F7.1BB1C300"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4</Pages>
  <Words>718</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5</cp:revision>
  <cp:lastPrinted>2017-11-01T13:33:00Z</cp:lastPrinted>
  <dcterms:created xsi:type="dcterms:W3CDTF">2017-11-01T13:32:00Z</dcterms:created>
  <dcterms:modified xsi:type="dcterms:W3CDTF">2017-11-07T08:16:00Z</dcterms:modified>
</cp:coreProperties>
</file>